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2400"/>
        <w:jc w:val="center"/>
      </w:pPr>
      <w:r>
        <w:rPr>
          <w:b/>
          <w:bCs/>
          <w:sz w:val="56"/>
          <w:szCs w:val="56"/>
        </w:rPr>
        <w:t xml:space="preserve">How We Win</w:t>
      </w:r>
    </w:p>
    <w:p>
      <w:pPr>
        <w:spacing w:after="60"/>
        <w:jc w:val="center"/>
      </w:pPr>
      <w:r>
        <w:rPr>
          <w:color w:val="444444"/>
          <w:sz w:val="26"/>
          <w:szCs w:val="26"/>
        </w:rPr>
        <w:t xml:space="preserve">Devensoft Business Transformation Plan</w:t>
      </w:r>
    </w:p>
    <w:p>
      <w:pPr>
        <w:spacing w:after="900"/>
        <w:jc w:val="center"/>
      </w:pPr>
      <w:r>
        <w:rPr>
          <w:b/>
          <w:bCs/>
          <w:color w:val="1F4E79"/>
          <w:sz w:val="24"/>
          <w:szCs w:val="24"/>
        </w:rPr>
        <w:t xml:space="preserve">BLUF-20 · executive skim read</w:t>
      </w:r>
    </w:p>
    <w:p>
      <w:pPr>
        <w:spacing w:after="60"/>
        <w:jc w:val="center"/>
      </w:pPr>
      <w:r>
        <w:rPr>
          <w:color w:val="444444"/>
          <w:sz w:val="20"/>
          <w:szCs w:val="20"/>
        </w:rPr>
        <w:t xml:space="preserve">Thom (Owner) · Eric (CEO) · leadership</w:t>
      </w:r>
    </w:p>
    <w:p>
      <w:pPr>
        <w:spacing w:after="700"/>
        <w:jc w:val="center"/>
      </w:pPr>
      <w:r>
        <w:rPr>
          <w:color w:val="444444"/>
          <w:sz w:val="20"/>
          <w:szCs w:val="20"/>
        </w:rPr>
        <w:t xml:space="preserve">August 2026</w:t>
      </w:r>
    </w:p>
    <w:p>
      <w:pPr>
        <w:spacing w:after="160"/>
      </w:pPr>
      <w:r>
        <w:rPr>
          <w:sz w:val="20"/>
          <w:szCs w:val="20"/>
        </w:rPr>
        <w:t xml:space="preserve">The recommendation: a sequenced hedge — defend and modernize the enterprise base first (restore the reporting, access, and reliability fundamentals the paying base already depends on), then grow through a modernized, AI-enabled Devensoft v24 and selectively diversify down-market on top of the restored floor. The ask: 5.5 FTE, two enforced firewalls, a ~9-month reference horizon, and the LMM Vehicle Choice surfaced to leadership.</w:t>
      </w:r>
    </w:p>
    <w:p>
      <w:pPr>
        <w:spacing w:after="0"/>
      </w:pPr>
      <w:r>
        <w:rPr>
          <w:i/>
          <w:iCs/>
          <w:color w:val="555555"/>
          <w:sz w:val="18"/>
          <w:szCs w:val="18"/>
        </w:rPr>
        <w:t xml:space="preserve">Distilled rendering: the shared foundation (the ask, the bets, the timing, the customers, the capabilities, the risks, the metrics) at near-full depth; the seven deep-dive modules compressed to summary blocks; decisions and open-questions registers appended. The comprehensive rendering carries full depth.</w:t>
      </w:r>
    </w:p>
    <w:p>
      <w:r>
        <w:br w:type="page"/>
      </w:r>
    </w:p>
    <w:p>
      <w:pPr>
        <w:pStyle w:val="Heading1"/>
        <w:spacing w:after="120"/>
      </w:pPr>
      <w:r>
        <w:rPr>
          <w:b/>
          <w:bCs/>
          <w:sz w:val="26"/>
          <w:szCs w:val="26"/>
        </w:rPr>
        <w:t xml:space="preserve">Contents</w:t>
      </w:r>
    </w:p>
    <w:sdt>
      <w:sdtPr>
        <w:alias w:val="Contents"/>
      </w:sdtPr>
      <w:sdtContent>
        <w:p>
          <w:r>
            <w:fldChar w:fldCharType="begin" w:dirty="true"/>
            <w:instrText xml:space="preserve">TOC \h \o "1-2"</w:instrText>
            <w:fldChar w:fldCharType="separate"/>
          </w:r>
        </w:p>
        <w:p>
          <w:r>
            <w:fldChar w:fldCharType="end"/>
          </w:r>
        </w:p>
      </w:sdtContent>
    </w:sdt>
    <w:p>
      <w:r>
        <w:br w:type="page"/>
      </w:r>
    </w:p>
    <w:p>
      <w:pPr>
        <w:pStyle w:val="Heading1"/>
        <w:spacing w:after="80" w:before="240"/>
      </w:pPr>
      <w:r>
        <w:rPr>
          <w:b/>
          <w:bCs/>
          <w:sz w:val="26"/>
          <w:szCs w:val="26"/>
        </w:rPr>
        <w:t xml:space="preserve">M01 — Exec Summary &amp; The Ask [R·G·D]</w:t>
      </w:r>
    </w:p>
    <w:p>
      <w:pPr>
        <w:spacing w:after="100"/>
      </w:pPr>
      <w:r>
        <w:rPr>
          <w:i/>
          <w:iCs/>
          <w:color w:val="666666"/>
          <w:sz w:val="16"/>
          <w:szCs w:val="16"/>
        </w:rPr>
        <w:t xml:space="preserve">BLUF-20 rendering · sequence position 01 of 14 (shared foundation). Deep-dive modules (seq 8–14) are compressed to summary blocks; the shared foundation keeps near-full depth.</w:t>
      </w:r>
    </w:p>
    <w:p>
      <w:pPr>
        <w:spacing w:after="120"/>
      </w:pPr>
      <w:r>
        <w:rPr>
          <w:sz w:val="20"/>
          <w:szCs w:val="20"/>
        </w:rPr>
        <w:t xml:space="preserve">This plan's recommendation is a sequenced hedge: </w:t>
      </w:r>
      <w:r>
        <w:rPr>
          <w:b/>
          <w:bCs/>
          <w:sz w:val="20"/>
          <w:szCs w:val="20"/>
        </w:rPr>
        <w:t xml:space="preserve">defend and modernize the enterprise base first</w:t>
      </w:r>
      <w:r>
        <w:rPr>
          <w:sz w:val="20"/>
          <w:szCs w:val="20"/>
        </w:rPr>
        <w:t xml:space="preserve"> — restore the access, reliability, and reporting fundamentals the paying base already depends on — then </w:t>
      </w:r>
      <w:r>
        <w:rPr>
          <w:b/>
          <w:bCs/>
          <w:sz w:val="20"/>
          <w:szCs w:val="20"/>
        </w:rPr>
        <w:t xml:space="preserve">grow</w:t>
      </w:r>
      <w:r>
        <w:rPr>
          <w:sz w:val="20"/>
          <w:szCs w:val="20"/>
        </w:rPr>
        <w:t xml:space="preserve"> that base through a modernized, AI-enabled Devensoft v24 and </w:t>
      </w:r>
      <w:r>
        <w:rPr>
          <w:b/>
          <w:bCs/>
          <w:sz w:val="20"/>
          <w:szCs w:val="20"/>
        </w:rPr>
        <w:t xml:space="preserve">selectively diversify</w:t>
      </w:r>
      <w:r>
        <w:rPr>
          <w:sz w:val="20"/>
          <w:szCs w:val="20"/>
        </w:rPr>
        <w:t xml:space="preserve"> down-market on top of the restored floor. Fundamentals sequence ahead of Grow and Diversify because capacity is smaller than ambition, and because the base that funds both legs is too concentrated and too eroding to let slip (per BTDR-0004 — G4; per BTDR-0011).</w:t>
      </w:r>
    </w:p>
    <w:p>
      <w:pPr>
        <w:spacing w:after="120"/>
      </w:pPr>
      <w:r>
        <w:rPr>
          <w:sz w:val="20"/>
          <w:szCs w:val="20"/>
        </w:rPr>
        <w:t xml:space="preserve">The plan earns the right to command that direction the hard way: every demand claim is corroborated across independent evidence streams that agree on the headline. A census-clean 108-of-108 YouTrack requirements sweep and a 640-plus-ticket HubSpot support extraction both put </w:t>
      </w:r>
      <w:r>
        <w:rPr>
          <w:b/>
          <w:bCs/>
          <w:sz w:val="20"/>
          <w:szCs w:val="20"/>
        </w:rPr>
        <w:t xml:space="preserve">reporting</w:t>
      </w:r>
      <w:r>
        <w:rPr>
          <w:sz w:val="20"/>
          <w:szCs w:val="20"/>
        </w:rPr>
        <w:t xml:space="preserve"> as the #1 capability demand and </w:t>
      </w:r>
      <w:r>
        <w:rPr>
          <w:b/>
          <w:bCs/>
          <w:sz w:val="20"/>
          <w:szCs w:val="20"/>
        </w:rPr>
        <w:t xml:space="preserve">access and reliability</w:t>
      </w:r>
      <w:r>
        <w:rPr>
          <w:sz w:val="20"/>
          <w:szCs w:val="20"/>
        </w:rPr>
        <w:t xml:space="preserve"> as the #1 pain — and both put direct AI feature demand at effectively zero (per youtrack-demand; per hubspot-customer-voice). A customer-led demo from the platform's largest enterprise advocate corroborates the same hierarchy and supplies the positioning frame: the platform as *deal strengthener — critical infrastructure to the deal*, not another tool (per demo-dwight-customer-voice). An "AI-first" pivot would be unmoored from every captured client signal; this plan is not.</w:t>
      </w:r>
    </w:p>
    <w:p>
      <w:pPr>
        <w:spacing w:after="120"/>
      </w:pPr>
      <w:r>
        <w:rPr>
          <w:sz w:val="20"/>
          <w:szCs w:val="20"/>
        </w:rPr>
        <w:t xml:space="preserve">The financial picture behind the ask is named honestly rather than smoothed. The FY26 baseline — roughly $700.8K closed-won against a $1.92M projection, ~22 active companies, and $128K in attrition at 82.7% closed-renewal retention — is an </w:t>
      </w:r>
      <w:r>
        <w:rPr>
          <w:b/>
          <w:bCs/>
          <w:sz w:val="20"/>
          <w:szCs w:val="20"/>
        </w:rPr>
        <w:t xml:space="preserve">internal projection, not recognized ARR</w:t>
      </w:r>
      <w:r>
        <w:rPr>
          <w:sz w:val="20"/>
          <w:szCs w:val="20"/>
        </w:rPr>
        <w:t xml:space="preserve">; cash and burn figures are absent (per fy26-financial-baseline, provisional). The signal is not absent though: the base is small, concentrated, and eroding at a rate that makes the fundamentals leg the near-term risk, not a deferred one.</w:t>
      </w:r>
    </w:p>
    <w:p>
      <w:pPr>
        <w:pStyle w:val="Heading2"/>
        <w:spacing w:after="60" w:before="160"/>
      </w:pPr>
      <w:r>
        <w:rPr>
          <w:b/>
          <w:bCs/>
          <w:sz w:val="22"/>
          <w:szCs w:val="22"/>
        </w:rPr>
        <w:t xml:space="preserve">The Dev Efforts, Sized</w:t>
      </w:r>
    </w:p>
    <w:p>
      <w:pPr>
        <w:spacing w:after="120"/>
      </w:pPr>
      <w:r>
        <w:rPr>
          <w:sz w:val="20"/>
          <w:szCs w:val="20"/>
        </w:rPr>
        <w:t xml:space="preserve">The plan's dev work sorts into three efforts inside a capacity envelope of </w:t>
      </w:r>
      <w:r>
        <w:rPr>
          <w:b/>
          <w:bCs/>
          <w:sz w:val="20"/>
          <w:szCs w:val="20"/>
        </w:rPr>
        <w:t xml:space="preserve">105.3 dev-weeks</w:t>
      </w:r>
      <w:r>
        <w:rPr>
          <w:sz w:val="20"/>
          <w:szCs w:val="20"/>
        </w:rPr>
        <w:t xml:space="preserve"> — ~43.8 committed to Retain/fundamentals, ~61.5 as headroom.</w:t>
      </w:r>
    </w:p>
    <w:p>
      <w:pPr>
        <w:spacing w:after="120"/>
      </w:pPr>
      <w:r>
        <w:rPr>
          <w:b/>
          <w:bCs/>
          <w:sz w:val="20"/>
          <w:szCs w:val="20"/>
        </w:rPr>
        <w:t xml:space="preserve">The fundamentals floor (F1–F7).</w:t>
      </w:r>
      <w:r>
        <w:rPr>
          <w:sz w:val="20"/>
          <w:szCs w:val="20"/>
        </w:rPr>
        <w:t xml:space="preserve"> The contractual floor — access and reliability basics (F1 auth-provider migration, F3 database reliability), security minimums (F4), the DI/runtime bridge (F6), health and observability (F2/F5), and a self-serve reporting foundation (F7) — runs ~32.5–49.5 dev-weeks and is the non-negotiable Retain leg that defends the cash engine. F6 and F1 sit on the critical path and alone consume roughly four to seven of the nine months at realistic allocation (per fundamentals-sizing-brief).</w:t>
      </w:r>
    </w:p>
    <w:p>
      <w:pPr>
        <w:spacing w:after="120"/>
      </w:pPr>
      <w:r>
        <w:rPr>
          <w:b/>
          <w:bCs/>
          <w:sz w:val="20"/>
          <w:szCs w:val="20"/>
        </w:rPr>
        <w:t xml:space="preserve">In-horizon AI (G2, G3, G5a).</w:t>
      </w:r>
      <w:r>
        <w:rPr>
          <w:sz w:val="20"/>
          <w:szCs w:val="20"/>
        </w:rPr>
        <w:t xml:space="preserve"> Above the floor and parallel to the critical path, roughly 12–16 dev-weeks of net-new AI work lands in the window: BYOM routing (G2, ~4 dev-wk), a kill-switched reporting-AI PoC (G3, ~4–6 dev-wk, conditional on a semantic-model gate), and the DevenMCP sliver (G5a, ~4–6 dev-wk, HIGH confidence) — the one differentiated AI win that fits without waiting behind F1. The full DevenMCP runtime core (G5b, ~22–34 dev-wk) is post-horizon, serial-gated behind F1, not headcount-fixable (per BTDR-0004).</w:t>
      </w:r>
    </w:p>
    <w:p>
      <w:pPr>
        <w:spacing w:after="120"/>
      </w:pPr>
      <w:r>
        <w:rPr>
          <w:b/>
          <w:bCs/>
          <w:sz w:val="20"/>
          <w:szCs w:val="20"/>
        </w:rPr>
        <w:t xml:space="preserve">In-horizon Diversify (D1 = the LMM Vehicle Choice; D3).</w:t>
      </w:r>
      <w:r>
        <w:rPr>
          <w:sz w:val="20"/>
          <w:szCs w:val="20"/>
        </w:rPr>
        <w:t xml:space="preserve"> The Diversify Tier-1 slot is a </w:t>
      </w:r>
      <w:r>
        <w:rPr>
          <w:b/>
          <w:bCs/>
          <w:sz w:val="20"/>
          <w:szCs w:val="20"/>
        </w:rPr>
        <w:t xml:space="preserve">deferred leadership choice among the LMM vehicles</w:t>
      </w:r>
      <w:r>
        <w:rPr>
          <w:sz w:val="20"/>
          <w:szCs w:val="20"/>
        </w:rPr>
        <w:t xml:space="preserve"> (per BTDR-0010 Am.2): the plan names the options and their sizing facts but commits to no vehicle and recommends none. DevenLite (C2, ~32 dev-wk minimum-guess, LOW confidence, coupling-dominated, front-scoped, late-window if chosen) and DevenDiligence (C1, ~3–5 dev-wk, LOW confidence) are the Tier-1-live candidates. The capacity draw is branch-dependent: a DevenLite choice brings committed net-new — together with the AI scope — to ~47–53 dev-weeks of the ~61.5 headroom, a thin margin named rather than smoothed (it fits, barely); a DevenDiligence choice is materially less (~18–26 incl. follow-ons); no vehicle chosen means the demand-signal instrument (D3, targeting C3/C4/C6) and Tier-2 signal work carry the in-horizon Diversify alone.</w:t>
      </w:r>
    </w:p>
    <w:p>
      <w:pPr>
        <w:pStyle w:val="Heading2"/>
        <w:spacing w:after="60" w:before="160"/>
      </w:pPr>
      <w:r>
        <w:rPr>
          <w:b/>
          <w:bCs/>
          <w:sz w:val="22"/>
          <w:szCs w:val="22"/>
        </w:rPr>
        <w:t xml:space="preserve">The Ask</w:t>
      </w:r>
    </w:p>
    <w:p>
      <w:pPr>
        <w:spacing w:after="120"/>
      </w:pPr>
      <w:r>
        <w:rPr>
          <w:sz w:val="20"/>
          <w:szCs w:val="20"/>
        </w:rPr>
        <w:t xml:space="preserve">The ask leadership commits to is a fundamentals-first hedge on a ~9-month reference horizon, resourced at 5.5 FTE, governed by two firewalls, with one open method decision carried explicitly (per BTDR-0011).</w:t>
      </w:r>
    </w:p>
    <w:p>
      <w:pPr>
        <w:spacing w:after="120"/>
      </w:pPr>
      <w:r>
        <w:rPr>
          <w:b/>
          <w:bCs/>
          <w:sz w:val="20"/>
          <w:szCs w:val="20"/>
        </w:rPr>
        <w:t xml:space="preserve">Resources — 5.5 FTE.</w:t>
      </w:r>
      <w:r>
        <w:rPr>
          <w:sz w:val="20"/>
          <w:szCs w:val="20"/>
        </w:rPr>
        <w:t xml:space="preserve"> Diego at 0.5 (architect-steering) and Roman at 1.0 anchor the team; three .NET staff-aug developers with agentic-coding experience carry the Grow/fundamentals track and absorb the technical report-dev work; one TAM/CS Ops Analyst owns client-facing reporting. The CTO role is not filled — a capacity risk named rather than hidden. The contractor line is a vendor swap: the incumbent Kaz engagement ends; three Talmatic engineers at $15k/mo (net +$5k/mo) join Roman and Diego to carry lights-on and the plan into v24. GTM staffing is deferred to Eric and Asha. The envelope resolves to 105.3 dev-weeks; how much headroom the Diversify Tier-1 slot draws is branch-dependent on the LMM Vehicle Choice (per BTDR-0010 Am.2; staffing amendment 2026-08-18).</w:t>
      </w:r>
    </w:p>
    <w:p>
      <w:pPr>
        <w:spacing w:after="120"/>
      </w:pPr>
      <w:r>
        <w:rPr>
          <w:b/>
          <w:bCs/>
          <w:sz w:val="20"/>
          <w:szCs w:val="20"/>
        </w:rPr>
        <w:t xml:space="preserve">Mandate — two firewalls, both enforced.</w:t>
      </w:r>
      <w:r>
        <w:rPr>
          <w:sz w:val="20"/>
          <w:szCs w:val="20"/>
        </w:rPr>
        <w:t xml:space="preserve"> The </w:t>
      </w:r>
      <w:r>
        <w:rPr>
          <w:b/>
          <w:bCs/>
          <w:sz w:val="20"/>
          <w:szCs w:val="20"/>
        </w:rPr>
        <w:t xml:space="preserve">90/10 attention firewall</w:t>
      </w:r>
      <w:r>
        <w:rPr>
          <w:sz w:val="20"/>
          <w:szCs w:val="20"/>
        </w:rPr>
        <w:t xml:space="preserve"> guards focus: legacy client-urgency work may not swamp the modernization effort the way it did in 2020 — physical legacy dev-weeks may exceed 10% without breaching it, because it protects energy and attention, not hours. The </w:t>
      </w:r>
      <w:r>
        <w:rPr>
          <w:b/>
          <w:bCs/>
          <w:sz w:val="20"/>
          <w:szCs w:val="20"/>
        </w:rPr>
        <w:t xml:space="preserve">fundamentals-first sequencing firewall</w:t>
      </w:r>
      <w:r>
        <w:rPr>
          <w:sz w:val="20"/>
          <w:szCs w:val="20"/>
        </w:rPr>
        <w:t xml:space="preserve"> governs capacity direction: when the Retain floor and the Grow/Diversify legs compete for the same dev-week, the floor runs first. Both must hold under client-urgency pressure or the execution timeline slips.</w:t>
      </w:r>
    </w:p>
    <w:p>
      <w:pPr>
        <w:spacing w:after="120"/>
      </w:pPr>
      <w:r>
        <w:rPr>
          <w:b/>
          <w:bCs/>
          <w:sz w:val="20"/>
          <w:szCs w:val="20"/>
        </w:rPr>
        <w:t xml:space="preserve">Timing — ~9 months, reference frame.</w:t>
      </w:r>
      <w:r>
        <w:rPr>
          <w:sz w:val="20"/>
          <w:szCs w:val="20"/>
        </w:rPr>
        <w:t xml:space="preserve"> The horizon is a reference anchor, not a fixed ship date; delivery is incremental, shaped as a sequence of gates — fundamentals floor → reporting ship → in-horizon AI → the chosen Tier-1 LMM vehicle delivering late-window, pending the LMM Vehicle Choice — with the D3 demand-signal verdict covering the remaining Tier-2 candidates. F6 and F1 alone consume roughly four to seven of the nine months, so slippage is likely and acknowledged.</w:t>
      </w:r>
    </w:p>
    <w:p>
      <w:pPr>
        <w:spacing w:after="120"/>
      </w:pPr>
      <w:r>
        <w:rPr>
          <w:b/>
          <w:bCs/>
          <w:sz w:val="20"/>
          <w:szCs w:val="20"/>
        </w:rPr>
        <w:t xml:space="preserve">One open method call, carried in the ask.</w:t>
      </w:r>
      <w:r>
        <w:rPr>
          <w:sz w:val="20"/>
          <w:szCs w:val="20"/>
        </w:rPr>
        <w:t xml:space="preserve"> The demand-signal instrument — how to validate demand for the unvalidated Diversify candidates (Devenfy and the Tier-2 set C3/C4/C6) before committing build — remains a leadership decision: Eric is against fake-door, Diego recommends it or a survey equivalent, and the method is not yet chosen (an amendment to BTDR-0005 is owed). The Tier-1-live candidates do not require the instrument; their fate is the LMM Vehicle Choice itself.</w:t>
      </w:r>
    </w:p>
    <w:p>
      <w:pPr>
        <w:spacing w:after="120"/>
      </w:pPr>
      <w:r>
        <w:rPr>
          <w:b/>
          <w:bCs/>
          <w:sz w:val="20"/>
          <w:szCs w:val="20"/>
        </w:rPr>
        <w:t xml:space="preserve">Two flags, not pitches.</w:t>
      </w:r>
      <w:r>
        <w:rPr>
          <w:sz w:val="20"/>
          <w:szCs w:val="20"/>
        </w:rPr>
        <w:t xml:space="preserve"> Thom's exit or crossroad stance is unconfirmed; this plan preserves optionality rather than pitching a scenario. The FY26 financial baseline is an internal projection, not recognized ARR; cash and burn are absent. The constraint is named; unverified numbers are not presented as settled.</w:t>
      </w:r>
    </w:p>
    <w:p>
      <w:pPr>
        <w:spacing w:after="120"/>
      </w:pPr>
      <w:r>
        <w:rPr>
          <w:sz w:val="20"/>
          <w:szCs w:val="20"/>
        </w:rPr>
        <w:t xml:space="preserve">Restated: a sequenced hedge with fundamentals-first sequencing, resourced at 5.5 FTE inside two enforced firewalls on a ~9-month reference horizon, with the LMM Vehicle Choice surfaced — not pre-answered — to leadership. The interactive decision engine at `recommendation-matrix.html` (§14) is the live surface where leadership adjusts the capacity assumptions and watches the recommendation reshape; this summary is its narrative anchor. What that ask costs, and which bets it buys, is what the next section puts on the table.</w:t>
      </w:r>
    </w:p>
    <w:p>
      <w:pPr>
        <w:pStyle w:val="Heading1"/>
        <w:spacing w:after="80" w:before="240"/>
      </w:pPr>
      <w:r>
        <w:rPr>
          <w:b/>
          <w:bCs/>
          <w:sz w:val="26"/>
          <w:szCs w:val="26"/>
        </w:rPr>
        <w:t xml:space="preserve">M14 — Recommendations &amp; Biggest Bets [R·G·D]</w:t>
      </w:r>
    </w:p>
    <w:p>
      <w:pPr>
        <w:spacing w:after="100"/>
      </w:pPr>
      <w:r>
        <w:rPr>
          <w:i/>
          <w:iCs/>
          <w:color w:val="666666"/>
          <w:sz w:val="16"/>
          <w:szCs w:val="16"/>
        </w:rPr>
        <w:t xml:space="preserve">BLUF-20 rendering · sequence position 02 of 14 (shared foundation).</w:t>
      </w:r>
    </w:p>
    <w:p>
      <w:pPr>
        <w:spacing w:after="120"/>
      </w:pPr>
      <w:r>
        <w:rPr>
          <w:sz w:val="20"/>
          <w:szCs w:val="20"/>
        </w:rPr>
        <w:t xml:space="preserve">This is the hero module: every prior section is the recommendation set's evidence layer. The headline is a </w:t>
      </w:r>
      <w:r>
        <w:rPr>
          <w:b/>
          <w:bCs/>
          <w:sz w:val="20"/>
          <w:szCs w:val="20"/>
        </w:rPr>
        <w:t xml:space="preserve">Hedge, sequenced posture with fundamentals-first sequencing (BTDR-0004 G4)</w:t>
      </w:r>
      <w:r>
        <w:rPr>
          <w:sz w:val="20"/>
          <w:szCs w:val="20"/>
        </w:rPr>
        <w:t xml:space="preserve"> — a genuine two-front bet (defend-and-grow the enterprise base AND diversify down-market) in which the Retain/fundamentals direction sequences ahead of Grow/Diversify because capacity is smaller than ambition. The financial baseline showed why: a base of roughly 22 active companies at 82.7% closed-renewal retention, $700.8K closed-won against a $1.92M projection, and $128K attrition is too small, too concentrated, and too eroding for the fundamentals to slip (per fy26-financial-baseline, provisional). Every card below traces to a locked decision or a named evidence stream — the deliberately-not-build list is explicit, not accumulated by silence.</w:t>
      </w:r>
    </w:p>
    <w:p>
      <w:pPr>
        <w:pStyle w:val="Heading2"/>
        <w:spacing w:after="60" w:before="160"/>
      </w:pPr>
      <w:r>
        <w:rPr>
          <w:b/>
          <w:bCs/>
          <w:sz w:val="22"/>
          <w:szCs w:val="22"/>
        </w:rPr>
        <w:t xml:space="preserve">Retain (R1–R5) — ~43.8 dev-wk committed of 105.3</w:t>
      </w:r>
    </w:p>
    <w:p>
      <w:pPr>
        <w:pStyle w:val="ListParagraph"/>
        <w:numPr>
          <w:ilvl w:val="0"/>
          <w:numId w:val="2"/>
        </w:numPr>
        <w:spacing w:after="60"/>
      </w:pPr>
      <w:r>
        <w:rPr>
          <w:b/>
          <w:bCs/>
          <w:sz w:val="20"/>
          <w:szCs w:val="20"/>
        </w:rPr>
        <w:t xml:space="preserve">R1 — Contractual floor (F1–F7), 32.5–49.5 dev-wk · locked.</w:t>
      </w:r>
      <w:r>
        <w:rPr>
          <w:sz w:val="20"/>
          <w:szCs w:val="20"/>
        </w:rPr>
        <w:t xml:space="preserve"> Access/reliability (F1–F3), security minimums (F4), infrastructure resilience (F5), the DI/runtime bridge (F6), the reporting-data foundation (F7, ~5.5 dev-wk). The work that makes the #1 pain go away; DR re-enablement is a visible, named exclusion.</w:t>
      </w:r>
    </w:p>
    <w:p>
      <w:pPr>
        <w:pStyle w:val="ListParagraph"/>
        <w:numPr>
          <w:ilvl w:val="0"/>
          <w:numId w:val="2"/>
        </w:numPr>
        <w:spacing w:after="60"/>
      </w:pPr>
      <w:r>
        <w:rPr>
          <w:b/>
          <w:bCs/>
          <w:sz w:val="20"/>
          <w:szCs w:val="20"/>
        </w:rPr>
        <w:t xml:space="preserve">R2 — 90/10 firewall as an attention guard · locked.</w:t>
      </w:r>
      <w:r>
        <w:rPr>
          <w:sz w:val="20"/>
          <w:szCs w:val="20"/>
        </w:rPr>
        <w:t xml:space="preserve"> Protects transformation focus from the 2020 relapse pattern; enforced severity-triggered, monthly drift-checked.</w:t>
      </w:r>
    </w:p>
    <w:p>
      <w:pPr>
        <w:pStyle w:val="ListParagraph"/>
        <w:numPr>
          <w:ilvl w:val="0"/>
          <w:numId w:val="2"/>
        </w:numPr>
        <w:spacing w:after="60"/>
      </w:pPr>
      <w:r>
        <w:rPr>
          <w:b/>
          <w:bCs/>
          <w:sz w:val="20"/>
          <w:szCs w:val="20"/>
        </w:rPr>
        <w:t xml:space="preserve">R3 — Talmatic vendor swap · Diego proposes.</w:t>
      </w:r>
      <w:r>
        <w:rPr>
          <w:sz w:val="20"/>
          <w:szCs w:val="20"/>
        </w:rPr>
        <w:t xml:space="preserve"> The incumbent Kaz engagement ends; three Talmatic engineers at $5k each ($15k/mo, net +$5k/mo) hold the plan's three contractor seats. Talmatic + Roman + Diego together carry lights-on and the plan into v24. Seat count preserved — the 5.5-FTE envelope and 105.3 dev-wk arithmetic stand.</w:t>
      </w:r>
    </w:p>
    <w:p>
      <w:pPr>
        <w:pStyle w:val="ListParagraph"/>
        <w:numPr>
          <w:ilvl w:val="0"/>
          <w:numId w:val="2"/>
        </w:numPr>
        <w:spacing w:after="60"/>
      </w:pPr>
      <w:r>
        <w:rPr>
          <w:b/>
          <w:bCs/>
          <w:sz w:val="20"/>
          <w:szCs w:val="20"/>
        </w:rPr>
        <w:t xml:space="preserve">R4 — Self-serve reporting floor · locked.</w:t>
      </w:r>
      <w:r>
        <w:rPr>
          <w:sz w:val="20"/>
          <w:szCs w:val="20"/>
        </w:rPr>
        <w:t xml:space="preserve"> Minimal report-creation layer above F7; the lowest-effort answer to the #1 capability demand and the seed of the PLG shape Diversify inherits.</w:t>
      </w:r>
    </w:p>
    <w:p>
      <w:pPr>
        <w:pStyle w:val="ListParagraph"/>
        <w:numPr>
          <w:ilvl w:val="0"/>
          <w:numId w:val="2"/>
        </w:numPr>
        <w:spacing w:after="60"/>
      </w:pPr>
      <w:r>
        <w:rPr>
          <w:b/>
          <w:bCs/>
          <w:sz w:val="20"/>
          <w:szCs w:val="20"/>
        </w:rPr>
        <w:t xml:space="preserve">R5 — DevenConnect API free for current customers · Diego proposes.</w:t>
      </w:r>
      <w:r>
        <w:rPr>
          <w:sz w:val="20"/>
          <w:szCs w:val="20"/>
        </w:rPr>
        <w:t xml:space="preserve"> A fair-use anti-churn value-add under the tiered model (per BTDR-0009 Am.1); deeper stickiness at zero marginal friction.</w:t>
      </w:r>
    </w:p>
    <w:p>
      <w:pPr>
        <w:pStyle w:val="Heading2"/>
        <w:spacing w:after="60" w:before="160"/>
      </w:pPr>
      <w:r>
        <w:rPr>
          <w:b/>
          <w:bCs/>
          <w:sz w:val="22"/>
          <w:szCs w:val="22"/>
        </w:rPr>
        <w:t xml:space="preserve">Grow (G1–G6) — the AI seat, bounded to what fits</w:t>
      </w:r>
    </w:p>
    <w:p>
      <w:pPr>
        <w:pStyle w:val="ListParagraph"/>
        <w:numPr>
          <w:ilvl w:val="0"/>
          <w:numId w:val="2"/>
        </w:numPr>
        <w:spacing w:after="60"/>
      </w:pPr>
      <w:r>
        <w:rPr>
          <w:b/>
          <w:bCs/>
          <w:sz w:val="20"/>
          <w:szCs w:val="20"/>
        </w:rPr>
        <w:t xml:space="preserve">G1 — F1 auth migration (Clerk/Auth0), buy-not-build · locked.</w:t>
      </w:r>
      <w:r>
        <w:rPr>
          <w:sz w:val="20"/>
          <w:szCs w:val="20"/>
        </w:rPr>
        <w:t xml:space="preserve"> The gating enabler for every extracted surface and Diversify product (per BTDR-0008).</w:t>
      </w:r>
    </w:p>
    <w:p>
      <w:pPr>
        <w:pStyle w:val="ListParagraph"/>
        <w:numPr>
          <w:ilvl w:val="0"/>
          <w:numId w:val="2"/>
        </w:numPr>
        <w:spacing w:after="60"/>
      </w:pPr>
      <w:r>
        <w:rPr>
          <w:b/>
          <w:bCs/>
          <w:sz w:val="20"/>
          <w:szCs w:val="20"/>
        </w:rPr>
        <w:t xml:space="preserve">G2 — BYOM routing, ~4 dev-wk, M confidence · locked.</w:t>
      </w:r>
      <w:r>
        <w:rPr>
          <w:sz w:val="20"/>
          <w:szCs w:val="20"/>
        </w:rPr>
        <w:t xml:space="preserve"> The Satisfy tier: enterprise clients plug their own LLM into the DevenConnect surface — no hosted-model compliance path.</w:t>
      </w:r>
    </w:p>
    <w:p>
      <w:pPr>
        <w:pStyle w:val="ListParagraph"/>
        <w:numPr>
          <w:ilvl w:val="0"/>
          <w:numId w:val="2"/>
        </w:numPr>
        <w:spacing w:after="60"/>
      </w:pPr>
      <w:r>
        <w:rPr>
          <w:b/>
          <w:bCs/>
          <w:sz w:val="20"/>
          <w:szCs w:val="20"/>
        </w:rPr>
        <w:t xml:space="preserve">G3 — Reporting-AI PoC, ~4–6 dev-wk, LOW confidence · Diego recommends (kill-switch).</w:t>
      </w:r>
      <w:r>
        <w:rPr>
          <w:sz w:val="20"/>
          <w:szCs w:val="20"/>
        </w:rPr>
        <w:t xml:space="preserve"> Conditional on a semantic-model feasibility gate; if the gate fails, the floor tier does not ship in-horizon.</w:t>
      </w:r>
    </w:p>
    <w:p>
      <w:pPr>
        <w:pStyle w:val="ListParagraph"/>
        <w:numPr>
          <w:ilvl w:val="0"/>
          <w:numId w:val="2"/>
        </w:numPr>
        <w:spacing w:after="60"/>
      </w:pPr>
      <w:r>
        <w:rPr>
          <w:b/>
          <w:bCs/>
          <w:sz w:val="20"/>
          <w:szCs w:val="20"/>
        </w:rPr>
        <w:t xml:space="preserve">G4 — Zapier (Phase 1) + consumption-based API pricing for new clients · Diego proposes.</w:t>
      </w:r>
      <w:r>
        <w:rPr>
          <w:sz w:val="20"/>
          <w:szCs w:val="20"/>
        </w:rPr>
        <w:t xml:space="preserve"> ~6 dev-wk, not on the critical path; the distribution story for the API surface.</w:t>
      </w:r>
    </w:p>
    <w:p>
      <w:pPr>
        <w:pStyle w:val="ListParagraph"/>
        <w:numPr>
          <w:ilvl w:val="0"/>
          <w:numId w:val="2"/>
        </w:numPr>
        <w:spacing w:after="60"/>
      </w:pPr>
      <w:r>
        <w:rPr>
          <w:b/>
          <w:bCs/>
          <w:sz w:val="20"/>
          <w:szCs w:val="20"/>
        </w:rPr>
        <w:t xml:space="preserve">G5a — DevenMCP sliver, ~4–6 dev-wk, HIGH confidence · locked.</w:t>
      </w:r>
      <w:r>
        <w:rPr>
          <w:sz w:val="20"/>
          <w:szCs w:val="20"/>
        </w:rPr>
        <w:t xml:space="preserve"> The differentiated AI win that lands in the window — an MCP/AI layer consuming the *existing* DevenConnect surface, no F1 dependency, prioritized above any Diversify new-build.</w:t>
      </w:r>
    </w:p>
    <w:p>
      <w:pPr>
        <w:pStyle w:val="ListParagraph"/>
        <w:numPr>
          <w:ilvl w:val="0"/>
          <w:numId w:val="2"/>
        </w:numPr>
        <w:spacing w:after="60"/>
      </w:pPr>
      <w:r>
        <w:rPr>
          <w:b/>
          <w:bCs/>
          <w:sz w:val="20"/>
          <w:szCs w:val="20"/>
        </w:rPr>
        <w:t xml:space="preserve">G5b — DevenMCP full runtime core, ~22–34 dev-wk (MVP ~12–19w) · deferred, Beyond the Horizon.</w:t>
      </w:r>
      <w:r>
        <w:rPr>
          <w:sz w:val="20"/>
          <w:szCs w:val="20"/>
        </w:rPr>
        <w:t xml:space="preserve"> F1-serial-gated (~mo 6–7); not headcount-fixable. The north-star win condition for the next battle — deferred, not killed.</w:t>
      </w:r>
    </w:p>
    <w:p>
      <w:pPr>
        <w:pStyle w:val="ListParagraph"/>
        <w:numPr>
          <w:ilvl w:val="0"/>
          <w:numId w:val="2"/>
        </w:numPr>
        <w:spacing w:after="60"/>
      </w:pPr>
      <w:r>
        <w:rPr>
          <w:b/>
          <w:bCs/>
          <w:sz w:val="20"/>
          <w:szCs w:val="20"/>
        </w:rPr>
        <w:t xml:space="preserve">G6 — OnboardingAgent · Diego proposes.</w:t>
      </w:r>
      <w:r>
        <w:rPr>
          <w:sz w:val="20"/>
          <w:szCs w:val="20"/>
        </w:rPr>
        <w:t xml:space="preserve"> Role-aware agentic onboarding over the Level-3 REST surface; addresses the 30–40% utilization and 20+-session onboarding burden.</w:t>
      </w:r>
    </w:p>
    <w:p>
      <w:pPr>
        <w:pStyle w:val="Heading2"/>
        <w:spacing w:after="60" w:before="160"/>
      </w:pPr>
      <w:r>
        <w:rPr>
          <w:b/>
          <w:bCs/>
          <w:sz w:val="22"/>
          <w:szCs w:val="22"/>
        </w:rPr>
        <w:t xml:space="preserve">Diversify (D1–D7) — Tier-1 = the LMM Vehicle Choice</w:t>
      </w:r>
    </w:p>
    <w:p>
      <w:pPr>
        <w:spacing w:after="120"/>
      </w:pPr>
      <w:r>
        <w:rPr>
          <w:b/>
          <w:bCs/>
          <w:sz w:val="20"/>
          <w:szCs w:val="20"/>
        </w:rPr>
        <w:t xml:space="preserve">Per BTDR-0010 Amendment 2 (2026-08-18):</w:t>
      </w:r>
      <w:r>
        <w:rPr>
          <w:sz w:val="20"/>
          <w:szCs w:val="20"/>
        </w:rPr>
        <w:t xml:space="preserve"> the Diversify Tier-1 slot is the </w:t>
      </w:r>
      <w:r>
        <w:rPr>
          <w:b/>
          <w:bCs/>
          <w:sz w:val="20"/>
          <w:szCs w:val="20"/>
        </w:rPr>
        <w:t xml:space="preserve">LMM Vehicle Choice</w:t>
      </w:r>
      <w:r>
        <w:rPr>
          <w:sz w:val="20"/>
          <w:szCs w:val="20"/>
        </w:rPr>
        <w:t xml:space="preserve"> — a deferred leadership decision among the LMM vehicles. The plan commits to </w:t>
      </w:r>
      <w:r>
        <w:rPr>
          <w:b/>
          <w:bCs/>
          <w:sz w:val="20"/>
          <w:szCs w:val="20"/>
        </w:rPr>
        <w:t xml:space="preserve">no vehicle</w:t>
      </w:r>
      <w:r>
        <w:rPr>
          <w:sz w:val="20"/>
          <w:szCs w:val="20"/>
        </w:rPr>
        <w:t xml:space="preserve"> and recommends </w:t>
      </w:r>
      <w:r>
        <w:rPr>
          <w:b/>
          <w:bCs/>
          <w:sz w:val="20"/>
          <w:szCs w:val="20"/>
        </w:rPr>
        <w:t xml:space="preserve">none</w:t>
      </w:r>
      <w:r>
        <w:rPr>
          <w:sz w:val="20"/>
          <w:szCs w:val="20"/>
        </w:rPr>
        <w:t xml:space="preserve">; the choice is Eric and Thom's. The candidates carry their facts openly:</w:t>
      </w:r>
    </w:p>
    <w:p>
      <w:pPr>
        <w:pStyle w:val="ListParagraph"/>
        <w:numPr>
          <w:ilvl w:val="0"/>
          <w:numId w:val="2"/>
        </w:numPr>
        <w:spacing w:after="60"/>
      </w:pPr>
      <w:r>
        <w:rPr>
          <w:b/>
          <w:bCs/>
          <w:sz w:val="20"/>
          <w:szCs w:val="20"/>
        </w:rPr>
        <w:t xml:space="preserve">DevenLite (C2)</w:t>
      </w:r>
      <w:r>
        <w:rPr>
          <w:sz w:val="20"/>
          <w:szCs w:val="20"/>
        </w:rPr>
        <w:t xml:space="preserve"> — front-scoped Targets+Tasking (stages 1–2 + deal-execution capture; PMI out of scope by design per the AGREED fit-to-need matrix), </w:t>
      </w:r>
      <w:r>
        <w:rPr>
          <w:b/>
          <w:bCs/>
          <w:sz w:val="20"/>
          <w:szCs w:val="20"/>
        </w:rPr>
        <w:t xml:space="preserve">~32 dev-wk minimum-guess, LOW confidence</w:t>
      </w:r>
      <w:r>
        <w:rPr>
          <w:sz w:val="20"/>
          <w:szCs w:val="20"/>
        </w:rPr>
        <w:t xml:space="preserve">, dominated by the DealSetupProcessing 24/69 coupling; late-window if chosen; a </w:t>
      </w:r>
      <w:r>
        <w:rPr>
          <w:b/>
          <w:bCs/>
          <w:sz w:val="20"/>
          <w:szCs w:val="20"/>
        </w:rPr>
        <w:t xml:space="preserve">first step, not a complete solution</w:t>
      </w:r>
      <w:r>
        <w:rPr>
          <w:sz w:val="20"/>
          <w:szCs w:val="20"/>
        </w:rPr>
        <w:t xml:space="preserve"> — standalone viability rides on the DevenDiligence + DevenFiles follow-ons (DevenFiles unsized).</w:t>
      </w:r>
    </w:p>
    <w:p>
      <w:pPr>
        <w:pStyle w:val="ListParagraph"/>
        <w:numPr>
          <w:ilvl w:val="0"/>
          <w:numId w:val="2"/>
        </w:numPr>
        <w:spacing w:after="60"/>
      </w:pPr>
      <w:r>
        <w:rPr>
          <w:b/>
          <w:bCs/>
          <w:sz w:val="20"/>
          <w:szCs w:val="20"/>
        </w:rPr>
        <w:t xml:space="preserve">DevenDiligence (C1)</w:t>
      </w:r>
      <w:r>
        <w:rPr>
          <w:sz w:val="20"/>
          <w:szCs w:val="20"/>
        </w:rPr>
        <w:t xml:space="preserve"> — the DD carve-out, </w:t>
      </w:r>
      <w:r>
        <w:rPr>
          <w:b/>
          <w:bCs/>
          <w:sz w:val="20"/>
          <w:szCs w:val="20"/>
        </w:rPr>
        <w:t xml:space="preserve">~3–5 dev-wk, LOW confidence</w:t>
      </w:r>
      <w:r>
        <w:rPr>
          <w:sz w:val="20"/>
          <w:szCs w:val="20"/>
        </w:rPr>
        <w:t xml:space="preserve">; materially the smaller extraction.</w:t>
      </w:r>
    </w:p>
    <w:p>
      <w:pPr>
        <w:pStyle w:val="ListParagraph"/>
        <w:numPr>
          <w:ilvl w:val="0"/>
          <w:numId w:val="2"/>
        </w:numPr>
        <w:spacing w:after="60"/>
      </w:pPr>
      <w:r>
        <w:rPr>
          <w:b/>
          <w:bCs/>
          <w:sz w:val="20"/>
          <w:szCs w:val="20"/>
        </w:rPr>
        <w:t xml:space="preserve">D3</w:t>
      </w:r>
      <w:r>
        <w:rPr>
          <w:sz w:val="20"/>
          <w:szCs w:val="20"/>
        </w:rPr>
        <w:t xml:space="preserve"> — demand-signal instrument targeting </w:t>
      </w:r>
      <w:r>
        <w:rPr>
          <w:b/>
          <w:bCs/>
          <w:sz w:val="20"/>
          <w:szCs w:val="20"/>
        </w:rPr>
        <w:t xml:space="preserve">C3/C4/C6 only</w:t>
      </w:r>
      <w:r>
        <w:rPr>
          <w:sz w:val="20"/>
          <w:szCs w:val="20"/>
        </w:rPr>
        <w:t xml:space="preserve"> (method = leadership-decides). </w:t>
      </w:r>
      <w:r>
        <w:rPr>
          <w:b/>
          <w:bCs/>
          <w:sz w:val="20"/>
          <w:szCs w:val="20"/>
        </w:rPr>
        <w:t xml:space="preserve">D5</w:t>
      </w:r>
      <w:r>
        <w:rPr>
          <w:sz w:val="20"/>
          <w:szCs w:val="20"/>
        </w:rPr>
        <w:t xml:space="preserve"> — lost-lead census, re-anchored as a Retain churn signal + preferred demand input that informs the choice; gates nothing. </w:t>
      </w:r>
      <w:r>
        <w:rPr>
          <w:b/>
          <w:bCs/>
          <w:sz w:val="20"/>
          <w:szCs w:val="20"/>
        </w:rPr>
        <w:t xml:space="preserve">D4</w:t>
      </w:r>
      <w:r>
        <w:rPr>
          <w:sz w:val="20"/>
          <w:szCs w:val="20"/>
        </w:rPr>
        <w:t xml:space="preserve"> — C3/C4/C6 build only on a confirmed signal. </w:t>
      </w:r>
      <w:r>
        <w:rPr>
          <w:b/>
          <w:bCs/>
          <w:sz w:val="20"/>
          <w:szCs w:val="20"/>
        </w:rPr>
        <w:t xml:space="preserve">D6</w:t>
      </w:r>
      <w:r>
        <w:rPr>
          <w:sz w:val="20"/>
          <w:szCs w:val="20"/>
        </w:rPr>
        <w:t xml:space="preserve"> — the chosen vehicle's crew: Diego + Roman + a share of the Talmatic team. </w:t>
      </w:r>
      <w:r>
        <w:rPr>
          <w:b/>
          <w:bCs/>
          <w:sz w:val="20"/>
          <w:szCs w:val="20"/>
        </w:rPr>
        <w:t xml:space="preserve">D7</w:t>
      </w:r>
      <w:r>
        <w:rPr>
          <w:sz w:val="20"/>
          <w:szCs w:val="20"/>
        </w:rPr>
        <w:t xml:space="preserve"> — consumption-based API for Diversify.</w:t>
      </w:r>
    </w:p>
    <w:p>
      <w:pPr>
        <w:spacing w:after="120"/>
      </w:pPr>
      <w:r>
        <w:rPr>
          <w:sz w:val="20"/>
          <w:szCs w:val="20"/>
        </w:rPr>
        <w:t xml:space="preserve">The capacity consequence is branch-dependent: a DevenLite choice commits </w:t>
      </w:r>
      <w:r>
        <w:rPr>
          <w:b/>
          <w:bCs/>
          <w:sz w:val="20"/>
          <w:szCs w:val="20"/>
        </w:rPr>
        <w:t xml:space="preserve">~47–53 dev-wk of the ~61.5 headroom — it fits, barely</w:t>
      </w:r>
      <w:r>
        <w:rPr>
          <w:sz w:val="20"/>
          <w:szCs w:val="20"/>
        </w:rPr>
        <w:t xml:space="preserve">; a DevenDiligence choice draws ~18–26 incl. follow-ons; no choice means Tier-2 signal work only. Under compression, the chosen vehicle's scope gives ground before the Retain floor (G4).</w:t>
      </w:r>
    </w:p>
    <w:p>
      <w:pPr>
        <w:pStyle w:val="Heading2"/>
        <w:spacing w:after="60" w:before="160"/>
      </w:pPr>
      <w:r>
        <w:rPr>
          <w:b/>
          <w:bCs/>
          <w:sz w:val="22"/>
          <w:szCs w:val="22"/>
        </w:rPr>
        <w:t xml:space="preserve">Deliberately-Not-Build (NB1–NB5)</w:t>
      </w:r>
    </w:p>
    <w:p>
      <w:pPr>
        <w:spacing w:after="120"/>
      </w:pPr>
      <w:r>
        <w:rPr>
          <w:b/>
          <w:bCs/>
          <w:sz w:val="20"/>
          <w:szCs w:val="20"/>
        </w:rPr>
        <w:t xml:space="preserve">NB1</w:t>
      </w:r>
      <w:r>
        <w:rPr>
          <w:sz w:val="20"/>
          <w:szCs w:val="20"/>
        </w:rPr>
        <w:t xml:space="preserve"> commodity enterprise diligence-AI (every rival ships it — parity, not differentiation); </w:t>
      </w:r>
      <w:r>
        <w:rPr>
          <w:b/>
          <w:bCs/>
          <w:sz w:val="20"/>
          <w:szCs w:val="20"/>
        </w:rPr>
        <w:t xml:space="preserve">NB2</w:t>
      </w:r>
      <w:r>
        <w:rPr>
          <w:sz w:val="20"/>
          <w:szCs w:val="20"/>
        </w:rPr>
        <w:t xml:space="preserve"> hosted LLM at the enterprise tier (BYOM mandated; keeps Devensoft out of the sub-processor path); </w:t>
      </w:r>
      <w:r>
        <w:rPr>
          <w:b/>
          <w:bCs/>
          <w:sz w:val="20"/>
          <w:szCs w:val="20"/>
        </w:rPr>
        <w:t xml:space="preserve">NB3</w:t>
      </w:r>
      <w:r>
        <w:rPr>
          <w:sz w:val="20"/>
          <w:szCs w:val="20"/>
        </w:rPr>
        <w:t xml:space="preserve"> non-demand-backed feature-AI (0/108 AI demand is the calibration); </w:t>
      </w:r>
      <w:r>
        <w:rPr>
          <w:b/>
          <w:bCs/>
          <w:sz w:val="20"/>
          <w:szCs w:val="20"/>
        </w:rPr>
        <w:t xml:space="preserve">NB4</w:t>
      </w:r>
      <w:r>
        <w:rPr>
          <w:sz w:val="20"/>
          <w:szCs w:val="20"/>
        </w:rPr>
        <w:t xml:space="preserve"> full monolith decomposition in the 9-month window (incremental extraction is the path); </w:t>
      </w:r>
      <w:r>
        <w:rPr>
          <w:b/>
          <w:bCs/>
          <w:sz w:val="20"/>
          <w:szCs w:val="20"/>
        </w:rPr>
        <w:t xml:space="preserve">NB5</w:t>
      </w:r>
      <w:r>
        <w:rPr>
          <w:sz w:val="20"/>
          <w:szCs w:val="20"/>
        </w:rPr>
        <w:t xml:space="preserve"> Devenfy full standalone without a demand signal (graduation rule, not a permanent no).</w:t>
      </w:r>
    </w:p>
    <w:p>
      <w:pPr>
        <w:pStyle w:val="Heading2"/>
        <w:spacing w:after="60" w:before="160"/>
      </w:pPr>
      <w:r>
        <w:rPr>
          <w:b/>
          <w:bCs/>
          <w:sz w:val="22"/>
          <w:szCs w:val="22"/>
        </w:rPr>
        <w:t xml:space="preserve">Net-New Sizing (agentic-adjusted)</w:t>
      </w:r>
    </w:p>
    <w:tbl>
      <w:tblPr>
        <w:tblW w:type="dxa" w:w="10224"/>
        <w:tblBorders>
          <w:top w:val="single" w:color="auto" w:sz="4"/>
          <w:left w:val="single" w:color="auto" w:sz="4"/>
          <w:bottom w:val="single" w:color="auto" w:sz="4"/>
          <w:right w:val="single" w:color="auto" w:sz="4"/>
          <w:insideH w:val="single" w:color="auto" w:sz="4"/>
          <w:insideV w:val="single" w:color="auto" w:sz="4"/>
        </w:tblBorders>
      </w:tblPr>
      <w:tblGrid>
        <w:gridCol w:w="3600"/>
        <w:gridCol w:w="1500"/>
        <w:gridCol w:w="900"/>
        <w:gridCol w:w="4224"/>
      </w:tblGrid>
      <w:tr>
        <w:trPr>
          <w:tblHeader/>
        </w:trPr>
        <w:tc>
          <w:tcPr>
            <w:tcW w:type="dxa" w:w="3600"/>
            <w:shd w:fill="EEF2F6" w:val="clear"/>
            <w:tcMar>
              <w:top w:type="dxa" w:w="40"/>
              <w:left w:type="dxa" w:w="80"/>
              <w:bottom w:type="dxa" w:w="40"/>
              <w:right w:type="dxa" w:w="80"/>
            </w:tcMar>
          </w:tcPr>
          <w:p>
            <w:pPr>
              <w:spacing w:after="0"/>
            </w:pPr>
            <w:r>
              <w:rPr>
                <w:b/>
                <w:bCs/>
                <w:sz w:val="18"/>
                <w:szCs w:val="18"/>
              </w:rPr>
              <w:t xml:space="preserve">Item</w:t>
            </w:r>
          </w:p>
        </w:tc>
        <w:tc>
          <w:tcPr>
            <w:tcW w:type="dxa" w:w="1500"/>
            <w:shd w:fill="EEF2F6" w:val="clear"/>
            <w:tcMar>
              <w:top w:type="dxa" w:w="40"/>
              <w:left w:type="dxa" w:w="80"/>
              <w:bottom w:type="dxa" w:w="40"/>
              <w:right w:type="dxa" w:w="80"/>
            </w:tcMar>
          </w:tcPr>
          <w:p>
            <w:pPr>
              <w:spacing w:after="0"/>
            </w:pPr>
            <w:r>
              <w:rPr>
                <w:b/>
                <w:bCs/>
                <w:sz w:val="18"/>
                <w:szCs w:val="18"/>
              </w:rPr>
              <w:t xml:space="preserve">Dev-wk</w:t>
            </w:r>
          </w:p>
        </w:tc>
        <w:tc>
          <w:tcPr>
            <w:tcW w:type="dxa" w:w="900"/>
            <w:shd w:fill="EEF2F6" w:val="clear"/>
            <w:tcMar>
              <w:top w:type="dxa" w:w="40"/>
              <w:left w:type="dxa" w:w="80"/>
              <w:bottom w:type="dxa" w:w="40"/>
              <w:right w:type="dxa" w:w="80"/>
            </w:tcMar>
          </w:tcPr>
          <w:p>
            <w:pPr>
              <w:spacing w:after="0"/>
            </w:pPr>
            <w:r>
              <w:rPr>
                <w:b/>
                <w:bCs/>
                <w:sz w:val="18"/>
                <w:szCs w:val="18"/>
              </w:rPr>
              <w:t xml:space="preserve">Conf.</w:t>
            </w:r>
          </w:p>
        </w:tc>
        <w:tc>
          <w:tcPr>
            <w:tcW w:type="dxa" w:w="4224"/>
            <w:shd w:fill="EEF2F6" w:val="clear"/>
            <w:tcMar>
              <w:top w:type="dxa" w:w="40"/>
              <w:left w:type="dxa" w:w="80"/>
              <w:bottom w:type="dxa" w:w="40"/>
              <w:right w:type="dxa" w:w="80"/>
            </w:tcMar>
          </w:tcPr>
          <w:p>
            <w:pPr>
              <w:spacing w:after="0"/>
            </w:pPr>
            <w:r>
              <w:rPr>
                <w:b/>
                <w:bCs/>
                <w:sz w:val="18"/>
                <w:szCs w:val="18"/>
              </w:rPr>
              <w:t xml:space="preserve">Horizon</w:t>
            </w:r>
          </w:p>
        </w:tc>
      </w:tr>
      <w:tr>
        <w:trPr>
          <w:tblHeader w:val="false"/>
        </w:trPr>
        <w:tc>
          <w:tcPr>
            <w:tcW w:type="dxa" w:w="3600"/>
            <w:tcMar>
              <w:top w:type="dxa" w:w="40"/>
              <w:left w:type="dxa" w:w="80"/>
              <w:bottom w:type="dxa" w:w="40"/>
              <w:right w:type="dxa" w:w="80"/>
            </w:tcMar>
          </w:tcPr>
          <w:p>
            <w:pPr>
              <w:spacing w:after="0"/>
            </w:pPr>
            <w:r>
              <w:rPr>
                <w:b w:val="false"/>
                <w:bCs w:val="false"/>
                <w:sz w:val="18"/>
                <w:szCs w:val="18"/>
              </w:rPr>
              <w:t xml:space="preserve">DevenMCP sliver (C1/C4/C5)</w:t>
            </w:r>
          </w:p>
        </w:tc>
        <w:tc>
          <w:tcPr>
            <w:tcW w:type="dxa" w:w="1500"/>
            <w:tcMar>
              <w:top w:type="dxa" w:w="40"/>
              <w:left w:type="dxa" w:w="80"/>
              <w:bottom w:type="dxa" w:w="40"/>
              <w:right w:type="dxa" w:w="80"/>
            </w:tcMar>
          </w:tcPr>
          <w:p>
            <w:pPr>
              <w:spacing w:after="0"/>
            </w:pPr>
            <w:r>
              <w:rPr>
                <w:b w:val="false"/>
                <w:bCs w:val="false"/>
                <w:sz w:val="18"/>
                <w:szCs w:val="18"/>
              </w:rPr>
              <w:t xml:space="preserve">~4–6w</w:t>
            </w:r>
          </w:p>
        </w:tc>
        <w:tc>
          <w:tcPr>
            <w:tcW w:type="dxa" w:w="900"/>
            <w:tcMar>
              <w:top w:type="dxa" w:w="40"/>
              <w:left w:type="dxa" w:w="80"/>
              <w:bottom w:type="dxa" w:w="40"/>
              <w:right w:type="dxa" w:w="80"/>
            </w:tcMar>
          </w:tcPr>
          <w:p>
            <w:pPr>
              <w:spacing w:after="0"/>
            </w:pPr>
            <w:r>
              <w:rPr>
                <w:b w:val="false"/>
                <w:bCs w:val="false"/>
                <w:sz w:val="18"/>
                <w:szCs w:val="18"/>
              </w:rPr>
              <w:t xml:space="preserve">H</w:t>
            </w:r>
          </w:p>
        </w:tc>
        <w:tc>
          <w:tcPr>
            <w:tcW w:type="dxa" w:w="4224"/>
            <w:tcMar>
              <w:top w:type="dxa" w:w="40"/>
              <w:left w:type="dxa" w:w="80"/>
              <w:bottom w:type="dxa" w:w="40"/>
              <w:right w:type="dxa" w:w="80"/>
            </w:tcMar>
          </w:tcPr>
          <w:p>
            <w:pPr>
              <w:spacing w:after="0"/>
            </w:pPr>
            <w:r>
              <w:rPr>
                <w:b w:val="false"/>
                <w:bCs w:val="false"/>
                <w:sz w:val="18"/>
                <w:szCs w:val="18"/>
              </w:rPr>
              <w:t xml:space="preserve">in-horizon</w:t>
            </w:r>
          </w:p>
        </w:tc>
      </w:tr>
      <w:tr>
        <w:trPr>
          <w:tblHeader w:val="false"/>
        </w:trPr>
        <w:tc>
          <w:tcPr>
            <w:tcW w:type="dxa" w:w="3600"/>
            <w:tcMar>
              <w:top w:type="dxa" w:w="40"/>
              <w:left w:type="dxa" w:w="80"/>
              <w:bottom w:type="dxa" w:w="40"/>
              <w:right w:type="dxa" w:w="80"/>
            </w:tcMar>
          </w:tcPr>
          <w:p>
            <w:pPr>
              <w:spacing w:after="0"/>
            </w:pPr>
            <w:r>
              <w:rPr>
                <w:b w:val="false"/>
                <w:bCs w:val="false"/>
                <w:sz w:val="18"/>
                <w:szCs w:val="18"/>
              </w:rPr>
              <w:t xml:space="preserve">BYOM routing</w:t>
            </w:r>
          </w:p>
        </w:tc>
        <w:tc>
          <w:tcPr>
            <w:tcW w:type="dxa" w:w="1500"/>
            <w:tcMar>
              <w:top w:type="dxa" w:w="40"/>
              <w:left w:type="dxa" w:w="80"/>
              <w:bottom w:type="dxa" w:w="40"/>
              <w:right w:type="dxa" w:w="80"/>
            </w:tcMar>
          </w:tcPr>
          <w:p>
            <w:pPr>
              <w:spacing w:after="0"/>
            </w:pPr>
            <w:r>
              <w:rPr>
                <w:b w:val="false"/>
                <w:bCs w:val="false"/>
                <w:sz w:val="18"/>
                <w:szCs w:val="18"/>
              </w:rPr>
              <w:t xml:space="preserve">4w</w:t>
            </w:r>
          </w:p>
        </w:tc>
        <w:tc>
          <w:tcPr>
            <w:tcW w:type="dxa" w:w="900"/>
            <w:tcMar>
              <w:top w:type="dxa" w:w="40"/>
              <w:left w:type="dxa" w:w="80"/>
              <w:bottom w:type="dxa" w:w="40"/>
              <w:right w:type="dxa" w:w="80"/>
            </w:tcMar>
          </w:tcPr>
          <w:p>
            <w:pPr>
              <w:spacing w:after="0"/>
            </w:pPr>
            <w:r>
              <w:rPr>
                <w:b w:val="false"/>
                <w:bCs w:val="false"/>
                <w:sz w:val="18"/>
                <w:szCs w:val="18"/>
              </w:rPr>
              <w:t xml:space="preserve">M</w:t>
            </w:r>
          </w:p>
        </w:tc>
        <w:tc>
          <w:tcPr>
            <w:tcW w:type="dxa" w:w="4224"/>
            <w:tcMar>
              <w:top w:type="dxa" w:w="40"/>
              <w:left w:type="dxa" w:w="80"/>
              <w:bottom w:type="dxa" w:w="40"/>
              <w:right w:type="dxa" w:w="80"/>
            </w:tcMar>
          </w:tcPr>
          <w:p>
            <w:pPr>
              <w:spacing w:after="0"/>
            </w:pPr>
            <w:r>
              <w:rPr>
                <w:b w:val="false"/>
                <w:bCs w:val="false"/>
                <w:sz w:val="18"/>
                <w:szCs w:val="18"/>
              </w:rPr>
              <w:t xml:space="preserve">in-horizon</w:t>
            </w:r>
          </w:p>
        </w:tc>
      </w:tr>
      <w:tr>
        <w:trPr>
          <w:tblHeader w:val="false"/>
        </w:trPr>
        <w:tc>
          <w:tcPr>
            <w:tcW w:type="dxa" w:w="3600"/>
            <w:tcMar>
              <w:top w:type="dxa" w:w="40"/>
              <w:left w:type="dxa" w:w="80"/>
              <w:bottom w:type="dxa" w:w="40"/>
              <w:right w:type="dxa" w:w="80"/>
            </w:tcMar>
          </w:tcPr>
          <w:p>
            <w:pPr>
              <w:spacing w:after="0"/>
            </w:pPr>
            <w:r>
              <w:rPr>
                <w:b w:val="false"/>
                <w:bCs w:val="false"/>
                <w:sz w:val="18"/>
                <w:szCs w:val="18"/>
              </w:rPr>
              <w:t xml:space="preserve">Reporting-AI PoC layer</w:t>
            </w:r>
          </w:p>
        </w:tc>
        <w:tc>
          <w:tcPr>
            <w:tcW w:type="dxa" w:w="1500"/>
            <w:tcMar>
              <w:top w:type="dxa" w:w="40"/>
              <w:left w:type="dxa" w:w="80"/>
              <w:bottom w:type="dxa" w:w="40"/>
              <w:right w:type="dxa" w:w="80"/>
            </w:tcMar>
          </w:tcPr>
          <w:p>
            <w:pPr>
              <w:spacing w:after="0"/>
            </w:pPr>
            <w:r>
              <w:rPr>
                <w:b w:val="false"/>
                <w:bCs w:val="false"/>
                <w:sz w:val="18"/>
                <w:szCs w:val="18"/>
              </w:rPr>
              <w:t xml:space="preserve">~4–6w</w:t>
            </w:r>
          </w:p>
        </w:tc>
        <w:tc>
          <w:tcPr>
            <w:tcW w:type="dxa" w:w="900"/>
            <w:tcMar>
              <w:top w:type="dxa" w:w="40"/>
              <w:left w:type="dxa" w:w="80"/>
              <w:bottom w:type="dxa" w:w="40"/>
              <w:right w:type="dxa" w:w="80"/>
            </w:tcMar>
          </w:tcPr>
          <w:p>
            <w:pPr>
              <w:spacing w:after="0"/>
            </w:pPr>
            <w:r>
              <w:rPr>
                <w:b w:val="false"/>
                <w:bCs w:val="false"/>
                <w:sz w:val="18"/>
                <w:szCs w:val="18"/>
              </w:rPr>
              <w:t xml:space="preserve">L</w:t>
            </w:r>
          </w:p>
        </w:tc>
        <w:tc>
          <w:tcPr>
            <w:tcW w:type="dxa" w:w="4224"/>
            <w:tcMar>
              <w:top w:type="dxa" w:w="40"/>
              <w:left w:type="dxa" w:w="80"/>
              <w:bottom w:type="dxa" w:w="40"/>
              <w:right w:type="dxa" w:w="80"/>
            </w:tcMar>
          </w:tcPr>
          <w:p>
            <w:pPr>
              <w:spacing w:after="0"/>
            </w:pPr>
            <w:r>
              <w:rPr>
                <w:b w:val="false"/>
                <w:bCs w:val="false"/>
                <w:sz w:val="18"/>
                <w:szCs w:val="18"/>
              </w:rPr>
              <w:t xml:space="preserve">conditional (semantic-model gate)</w:t>
            </w:r>
          </w:p>
        </w:tc>
      </w:tr>
      <w:tr>
        <w:trPr>
          <w:tblHeader w:val="false"/>
        </w:trPr>
        <w:tc>
          <w:tcPr>
            <w:tcW w:type="dxa" w:w="3600"/>
            <w:tcMar>
              <w:top w:type="dxa" w:w="40"/>
              <w:left w:type="dxa" w:w="80"/>
              <w:bottom w:type="dxa" w:w="40"/>
              <w:right w:type="dxa" w:w="80"/>
            </w:tcMar>
          </w:tcPr>
          <w:p>
            <w:pPr>
              <w:spacing w:after="0"/>
            </w:pPr>
            <w:r>
              <w:rPr>
                <w:b w:val="false"/>
                <w:bCs w:val="false"/>
                <w:sz w:val="18"/>
                <w:szCs w:val="18"/>
              </w:rPr>
              <w:t xml:space="preserve">DevenDiligence</w:t>
            </w:r>
          </w:p>
        </w:tc>
        <w:tc>
          <w:tcPr>
            <w:tcW w:type="dxa" w:w="1500"/>
            <w:tcMar>
              <w:top w:type="dxa" w:w="40"/>
              <w:left w:type="dxa" w:w="80"/>
              <w:bottom w:type="dxa" w:w="40"/>
              <w:right w:type="dxa" w:w="80"/>
            </w:tcMar>
          </w:tcPr>
          <w:p>
            <w:pPr>
              <w:spacing w:after="0"/>
            </w:pPr>
            <w:r>
              <w:rPr>
                <w:b w:val="false"/>
                <w:bCs w:val="false"/>
                <w:sz w:val="18"/>
                <w:szCs w:val="18"/>
              </w:rPr>
              <w:t xml:space="preserve">~3–5w</w:t>
            </w:r>
          </w:p>
        </w:tc>
        <w:tc>
          <w:tcPr>
            <w:tcW w:type="dxa" w:w="900"/>
            <w:tcMar>
              <w:top w:type="dxa" w:w="40"/>
              <w:left w:type="dxa" w:w="80"/>
              <w:bottom w:type="dxa" w:w="40"/>
              <w:right w:type="dxa" w:w="80"/>
            </w:tcMar>
          </w:tcPr>
          <w:p>
            <w:pPr>
              <w:spacing w:after="0"/>
            </w:pPr>
            <w:r>
              <w:rPr>
                <w:b w:val="false"/>
                <w:bCs w:val="false"/>
                <w:sz w:val="18"/>
                <w:szCs w:val="18"/>
              </w:rPr>
              <w:t xml:space="preserve">L</w:t>
            </w:r>
          </w:p>
        </w:tc>
        <w:tc>
          <w:tcPr>
            <w:tcW w:type="dxa" w:w="4224"/>
            <w:tcMar>
              <w:top w:type="dxa" w:w="40"/>
              <w:left w:type="dxa" w:w="80"/>
              <w:bottom w:type="dxa" w:w="40"/>
              <w:right w:type="dxa" w:w="80"/>
            </w:tcMar>
          </w:tcPr>
          <w:p>
            <w:pPr>
              <w:spacing w:after="0"/>
            </w:pPr>
            <w:r>
              <w:rPr>
                <w:b w:val="false"/>
                <w:bCs w:val="false"/>
                <w:sz w:val="18"/>
                <w:szCs w:val="18"/>
              </w:rPr>
              <w:t xml:space="preserve">if chosen (Tier-1-live)</w:t>
            </w:r>
          </w:p>
        </w:tc>
      </w:tr>
      <w:tr>
        <w:trPr>
          <w:tblHeader w:val="false"/>
        </w:trPr>
        <w:tc>
          <w:tcPr>
            <w:tcW w:type="dxa" w:w="3600"/>
            <w:tcMar>
              <w:top w:type="dxa" w:w="40"/>
              <w:left w:type="dxa" w:w="80"/>
              <w:bottom w:type="dxa" w:w="40"/>
              <w:right w:type="dxa" w:w="80"/>
            </w:tcMar>
          </w:tcPr>
          <w:p>
            <w:pPr>
              <w:spacing w:after="0"/>
            </w:pPr>
            <w:r>
              <w:rPr>
                <w:b w:val="false"/>
                <w:bCs w:val="false"/>
                <w:sz w:val="18"/>
                <w:szCs w:val="18"/>
              </w:rPr>
              <w:t xml:space="preserve">DevenLite</w:t>
            </w:r>
          </w:p>
        </w:tc>
        <w:tc>
          <w:tcPr>
            <w:tcW w:type="dxa" w:w="1500"/>
            <w:tcMar>
              <w:top w:type="dxa" w:w="40"/>
              <w:left w:type="dxa" w:w="80"/>
              <w:bottom w:type="dxa" w:w="40"/>
              <w:right w:type="dxa" w:w="80"/>
            </w:tcMar>
          </w:tcPr>
          <w:p>
            <w:pPr>
              <w:spacing w:after="0"/>
            </w:pPr>
            <w:r>
              <w:rPr>
                <w:b w:val="false"/>
                <w:bCs w:val="false"/>
                <w:sz w:val="18"/>
                <w:szCs w:val="18"/>
              </w:rPr>
              <w:t xml:space="preserve">~32w min-guess</w:t>
            </w:r>
          </w:p>
        </w:tc>
        <w:tc>
          <w:tcPr>
            <w:tcW w:type="dxa" w:w="900"/>
            <w:tcMar>
              <w:top w:type="dxa" w:w="40"/>
              <w:left w:type="dxa" w:w="80"/>
              <w:bottom w:type="dxa" w:w="40"/>
              <w:right w:type="dxa" w:w="80"/>
            </w:tcMar>
          </w:tcPr>
          <w:p>
            <w:pPr>
              <w:spacing w:after="0"/>
            </w:pPr>
            <w:r>
              <w:rPr>
                <w:b w:val="false"/>
                <w:bCs w:val="false"/>
                <w:sz w:val="18"/>
                <w:szCs w:val="18"/>
              </w:rPr>
              <w:t xml:space="preserve">L</w:t>
            </w:r>
          </w:p>
        </w:tc>
        <w:tc>
          <w:tcPr>
            <w:tcW w:type="dxa" w:w="4224"/>
            <w:tcMar>
              <w:top w:type="dxa" w:w="40"/>
              <w:left w:type="dxa" w:w="80"/>
              <w:bottom w:type="dxa" w:w="40"/>
              <w:right w:type="dxa" w:w="80"/>
            </w:tcMar>
          </w:tcPr>
          <w:p>
            <w:pPr>
              <w:spacing w:after="0"/>
            </w:pPr>
            <w:r>
              <w:rPr>
                <w:b w:val="false"/>
                <w:bCs w:val="false"/>
                <w:sz w:val="18"/>
                <w:szCs w:val="18"/>
              </w:rPr>
              <w:t xml:space="preserve">if chosen (late-window, coupling-dominated)</w:t>
            </w:r>
          </w:p>
        </w:tc>
      </w:tr>
      <w:tr>
        <w:trPr>
          <w:tblHeader w:val="false"/>
        </w:trPr>
        <w:tc>
          <w:tcPr>
            <w:tcW w:type="dxa" w:w="3600"/>
            <w:tcMar>
              <w:top w:type="dxa" w:w="40"/>
              <w:left w:type="dxa" w:w="80"/>
              <w:bottom w:type="dxa" w:w="40"/>
              <w:right w:type="dxa" w:w="80"/>
            </w:tcMar>
          </w:tcPr>
          <w:p>
            <w:pPr>
              <w:spacing w:after="0"/>
            </w:pPr>
            <w:r>
              <w:rPr>
                <w:b w:val="false"/>
                <w:bCs w:val="false"/>
                <w:sz w:val="18"/>
                <w:szCs w:val="18"/>
              </w:rPr>
              <w:t xml:space="preserve">DevenMCP MVP / full core</w:t>
            </w:r>
          </w:p>
        </w:tc>
        <w:tc>
          <w:tcPr>
            <w:tcW w:type="dxa" w:w="1500"/>
            <w:tcMar>
              <w:top w:type="dxa" w:w="40"/>
              <w:left w:type="dxa" w:w="80"/>
              <w:bottom w:type="dxa" w:w="40"/>
              <w:right w:type="dxa" w:w="80"/>
            </w:tcMar>
          </w:tcPr>
          <w:p>
            <w:pPr>
              <w:spacing w:after="0"/>
            </w:pPr>
            <w:r>
              <w:rPr>
                <w:b w:val="false"/>
                <w:bCs w:val="false"/>
                <w:sz w:val="18"/>
                <w:szCs w:val="18"/>
              </w:rPr>
              <w:t xml:space="preserve">~12–19w / ~22–34w</w:t>
            </w:r>
          </w:p>
        </w:tc>
        <w:tc>
          <w:tcPr>
            <w:tcW w:type="dxa" w:w="900"/>
            <w:tcMar>
              <w:top w:type="dxa" w:w="40"/>
              <w:left w:type="dxa" w:w="80"/>
              <w:bottom w:type="dxa" w:w="40"/>
              <w:right w:type="dxa" w:w="80"/>
            </w:tcMar>
          </w:tcPr>
          <w:p>
            <w:pPr>
              <w:spacing w:after="0"/>
            </w:pPr>
            <w:r>
              <w:rPr>
                <w:b w:val="false"/>
                <w:bCs w:val="false"/>
                <w:sz w:val="18"/>
                <w:szCs w:val="18"/>
              </w:rPr>
              <w:t xml:space="preserve">M-L</w:t>
            </w:r>
          </w:p>
        </w:tc>
        <w:tc>
          <w:tcPr>
            <w:tcW w:type="dxa" w:w="4224"/>
            <w:tcMar>
              <w:top w:type="dxa" w:w="40"/>
              <w:left w:type="dxa" w:w="80"/>
              <w:bottom w:type="dxa" w:w="40"/>
              <w:right w:type="dxa" w:w="80"/>
            </w:tcMar>
          </w:tcPr>
          <w:p>
            <w:pPr>
              <w:spacing w:after="0"/>
            </w:pPr>
            <w:r>
              <w:rPr>
                <w:b w:val="false"/>
                <w:bCs w:val="false"/>
                <w:sz w:val="18"/>
                <w:szCs w:val="18"/>
              </w:rPr>
              <w:t xml:space="preserve">post-horizon (F1-gated)</w:t>
            </w:r>
          </w:p>
        </w:tc>
      </w:tr>
      <w:tr>
        <w:trPr>
          <w:tblHeader w:val="false"/>
        </w:trPr>
        <w:tc>
          <w:tcPr>
            <w:tcW w:type="dxa" w:w="3600"/>
            <w:tcMar>
              <w:top w:type="dxa" w:w="40"/>
              <w:left w:type="dxa" w:w="80"/>
              <w:bottom w:type="dxa" w:w="40"/>
              <w:right w:type="dxa" w:w="80"/>
            </w:tcMar>
          </w:tcPr>
          <w:p>
            <w:pPr>
              <w:spacing w:after="0"/>
            </w:pPr>
            <w:r>
              <w:rPr>
                <w:b w:val="false"/>
                <w:bCs w:val="false"/>
                <w:sz w:val="18"/>
                <w:szCs w:val="18"/>
              </w:rPr>
              <w:t xml:space="preserve">Zapier (Phase 1)</w:t>
            </w:r>
          </w:p>
        </w:tc>
        <w:tc>
          <w:tcPr>
            <w:tcW w:type="dxa" w:w="1500"/>
            <w:tcMar>
              <w:top w:type="dxa" w:w="40"/>
              <w:left w:type="dxa" w:w="80"/>
              <w:bottom w:type="dxa" w:w="40"/>
              <w:right w:type="dxa" w:w="80"/>
            </w:tcMar>
          </w:tcPr>
          <w:p>
            <w:pPr>
              <w:spacing w:after="0"/>
            </w:pPr>
            <w:r>
              <w:rPr>
                <w:b w:val="false"/>
                <w:bCs w:val="false"/>
                <w:sz w:val="18"/>
                <w:szCs w:val="18"/>
              </w:rPr>
              <w:t xml:space="preserve">~6w</w:t>
            </w:r>
          </w:p>
        </w:tc>
        <w:tc>
          <w:tcPr>
            <w:tcW w:type="dxa" w:w="900"/>
            <w:tcMar>
              <w:top w:type="dxa" w:w="40"/>
              <w:left w:type="dxa" w:w="80"/>
              <w:bottom w:type="dxa" w:w="40"/>
              <w:right w:type="dxa" w:w="80"/>
            </w:tcMar>
          </w:tcPr>
          <w:p>
            <w:pPr>
              <w:spacing w:after="0"/>
            </w:pPr>
            <w:r>
              <w:rPr>
                <w:b w:val="false"/>
                <w:bCs w:val="false"/>
                <w:sz w:val="18"/>
                <w:szCs w:val="18"/>
              </w:rPr>
              <w:t xml:space="preserve">L</w:t>
            </w:r>
          </w:p>
        </w:tc>
        <w:tc>
          <w:tcPr>
            <w:tcW w:type="dxa" w:w="4224"/>
            <w:tcMar>
              <w:top w:type="dxa" w:w="40"/>
              <w:left w:type="dxa" w:w="80"/>
              <w:bottom w:type="dxa" w:w="40"/>
              <w:right w:type="dxa" w:w="80"/>
            </w:tcMar>
          </w:tcPr>
          <w:p>
            <w:pPr>
              <w:spacing w:after="0"/>
            </w:pPr>
            <w:r>
              <w:rPr>
                <w:b w:val="false"/>
                <w:bCs w:val="false"/>
                <w:sz w:val="18"/>
                <w:szCs w:val="18"/>
              </w:rPr>
              <w:t xml:space="preserve">not on critical path</w:t>
            </w:r>
          </w:p>
        </w:tc>
      </w:tr>
    </w:tbl>
    <w:p>
      <w:pPr>
        <w:spacing w:after="60"/>
      </w:pPr>
    </w:p>
    <w:p>
      <w:pPr>
        <w:spacing w:after="120"/>
      </w:pPr>
      <w:r>
        <w:rPr>
          <w:sz w:val="20"/>
          <w:szCs w:val="20"/>
        </w:rPr>
        <w:t xml:space="preserve">The Retain floor (F1–F7, ~32.5–49.5 dev-wk) is sized separately and is not duplicated here. The dominant uncertainty is named: DevenLite's ~32w is a minimum guess at LOW confidence, and DevenFiles — the follow-on that branch needs — is unsized.</w:t>
      </w:r>
    </w:p>
    <w:p>
      <w:pPr>
        <w:pStyle w:val="Heading2"/>
        <w:spacing w:after="60" w:before="160"/>
      </w:pPr>
      <w:r>
        <w:rPr>
          <w:b/>
          <w:bCs/>
          <w:sz w:val="22"/>
          <w:szCs w:val="22"/>
        </w:rPr>
        <w:t xml:space="preserve">Staffing + Sequencing + Bets</w:t>
      </w:r>
    </w:p>
    <w:p>
      <w:pPr>
        <w:spacing w:after="120"/>
      </w:pPr>
      <w:r>
        <w:rPr>
          <w:b/>
          <w:bCs/>
          <w:sz w:val="20"/>
          <w:szCs w:val="20"/>
        </w:rPr>
        <w:t xml:space="preserve">Staffing — 5.5 FTE, three tiers.</w:t>
      </w:r>
      <w:r>
        <w:rPr>
          <w:sz w:val="20"/>
          <w:szCs w:val="20"/>
        </w:rPr>
        <w:t xml:space="preserve"> Tier 1: Roman 1.0 + Diego 0.5 (architect-steering) — the existing core, no ramp, carrying the critical path. Tier 2: three .NET staff-aug contractors (3.0 FTE, onboarding drag applied) on the Grow/fundamentals track + technical report-dev — post-swap, Talmatic at $15k/mo fixed. Tier 3: the TAM/CS Ops Analyst owning client-facing reporting (BTDR-0011 Am.1). The Diversify track stays lean by design (D6).</w:t>
      </w:r>
    </w:p>
    <w:p>
      <w:pPr>
        <w:spacing w:after="120"/>
      </w:pPr>
      <w:r>
        <w:rPr>
          <w:b/>
          <w:bCs/>
          <w:sz w:val="20"/>
          <w:szCs w:val="20"/>
        </w:rPr>
        <w:t xml:space="preserve">Sequencing — the recommended path.</w:t>
      </w:r>
      <w:r>
        <w:rPr>
          <w:sz w:val="20"/>
          <w:szCs w:val="20"/>
        </w:rPr>
        <w:t xml:space="preserve"> (1) Fundamentals floor first; F6 and F1 on the critical path. (2) F1 as the gating enabler — serial, not headcount-fixable. (3) The in-horizon AI wins (G5a sliver, G2 BYOM, G3 PoC) run *above and parallel to* the floor, not behind F1. (4) The Tier-1 vehicle, if chosen, delivers late-window; D3/D5 run early in parallel because their output informs the choice. (5) G5b and the unvalidated candidates wait Beyond the Horizon.</w:t>
      </w:r>
    </w:p>
    <w:p>
      <w:pPr>
        <w:spacing w:after="120"/>
      </w:pPr>
      <w:r>
        <w:rPr>
          <w:b/>
          <w:bCs/>
          <w:sz w:val="20"/>
          <w:szCs w:val="20"/>
        </w:rPr>
        <w:t xml:space="preserve">Biggest bets + kill-conditions.</w:t>
      </w:r>
      <w:r>
        <w:rPr>
          <w:sz w:val="20"/>
          <w:szCs w:val="20"/>
        </w:rPr>
        <w:t xml:space="preserve"> *Bet 1:* the G5a sliver — kill if the existing API surface cannot support the MCP consumption pattern. *Bet 2:* G5b full core — no in-horizon kill; promoted by F1 completion, retired only if a rival closes the execution-depth opening. *Bet 3:* the LMM Vehicle Choice itself — no kill; the honest boundary conditions are compression (vehicle gives ground before the floor), sizing risk (the ~32w guess), and no-choice (Tier-2 signal work only). *Bet 4:* the D3 instrument — the kill-*mechanism* for Tier-2 candidates, not a bet with its own kill.</w:t>
      </w:r>
    </w:p>
    <w:p>
      <w:pPr>
        <w:spacing w:after="120"/>
      </w:pPr>
      <w:r>
        <w:rPr>
          <w:sz w:val="20"/>
          <w:szCs w:val="20"/>
        </w:rPr>
        <w:t xml:space="preserve">Two flags close the module: the DevenConnect consumption-rate structure (TBD; BTDR-0009) and the demand-signal instrument method (Eric against fake-door; Diego recommends; BTDR-0005 amendment owed).</w:t>
      </w:r>
    </w:p>
    <w:p>
      <w:pPr>
        <w:spacing w:after="120"/>
      </w:pPr>
      <w:r>
        <w:rPr>
          <w:sz w:val="20"/>
          <w:szCs w:val="20"/>
        </w:rPr>
        <w:t xml:space="preserve">These are the bets behind the ask — and the natural next question is what makes them time-sensitive: a base already turning at the renewal cycle, rivals drifting structurally away, and a confirmed nine-month window. That is the timing case the next section establishes.</w:t>
      </w:r>
    </w:p>
    <w:p>
      <w:pPr>
        <w:pStyle w:val="Heading1"/>
        <w:spacing w:after="80" w:before="240"/>
      </w:pPr>
      <w:r>
        <w:rPr>
          <w:b/>
          <w:bCs/>
          <w:sz w:val="26"/>
          <w:szCs w:val="26"/>
        </w:rPr>
        <w:t xml:space="preserve">M02 — Why Now [R·G·D]</w:t>
      </w:r>
    </w:p>
    <w:p>
      <w:pPr>
        <w:spacing w:after="100"/>
      </w:pPr>
      <w:r>
        <w:rPr>
          <w:i/>
          <w:iCs/>
          <w:color w:val="666666"/>
          <w:sz w:val="16"/>
          <w:szCs w:val="16"/>
        </w:rPr>
        <w:t xml:space="preserve">BLUF-20 rendering · sequence position 03 of 14 (shared foundation).</w:t>
      </w:r>
    </w:p>
    <w:p>
      <w:pPr>
        <w:spacing w:after="120"/>
      </w:pPr>
      <w:r>
        <w:rPr>
          <w:sz w:val="20"/>
          <w:szCs w:val="20"/>
        </w:rPr>
        <w:t xml:space="preserve">The case for acting now is not a manufactured deadline — it is a base that is already turning. Two enterprise renewals in the last ~2 years (a ~$200K-relationship medical-device client and an automotive client) were retained only after answering, at the renewal turn, "are you going to be investing in the modern workflow we're being called on?" — and ~24 months of sales-qualification calls have ended in "hard pass," with prospects reporting "nothing changing in your platform" (per eric-meeting-2026-08-07 §2 — private transcript, provisional). In both renewal cases the clients kept their logins but ran PowerPoint and Excel alongside the platform — a visible hedge against a tool they had not yet decided to trust fully.</w:t>
      </w:r>
    </w:p>
    <w:p>
      <w:pPr>
        <w:spacing w:after="120"/>
      </w:pPr>
      <w:r>
        <w:rPr>
          <w:b/>
          <w:bCs/>
          <w:sz w:val="20"/>
          <w:szCs w:val="20"/>
        </w:rPr>
        <w:t xml:space="preserve">The renewal clock is client-voiced, dollar-denominated, and time-bounded.</w:t>
      </w:r>
      <w:r>
        <w:rPr>
          <w:sz w:val="20"/>
          <w:szCs w:val="20"/>
        </w:rPr>
        <w:t xml:space="preserve"> The ~$200K medical-device renewal is corroborated by name: Stryker closed-won at exactly $200,000 (01/13/2026), the largest direct deal in the FY26 book; the automotive renewal likely maps to Ford's $90K open renewal (per fy26-financial-baseline, provisional). The risk side is concrete: </w:t>
      </w:r>
      <w:r>
        <w:rPr>
          <w:b/>
          <w:bCs/>
          <w:sz w:val="20"/>
          <w:szCs w:val="20"/>
        </w:rPr>
        <w:t xml:space="preserve">$128K of attrition across seven accounts</w:t>
      </w:r>
      <w:r>
        <w:rPr>
          <w:sz w:val="20"/>
          <w:szCs w:val="20"/>
        </w:rPr>
        <w:t xml:space="preserve"> — Enterprise Transformers ($28K), Charter Next Gen ($25K), EON UK ($23K), Fluence ($18K), Patriot-Hc ($14K), Vinarchy ($13K), dental bauer ($7K) — every one flagged High-risk before the loss. </w:t>
      </w:r>
      <w:r>
        <w:rPr>
          <w:b/>
          <w:bCs/>
          <w:sz w:val="20"/>
          <w:szCs w:val="20"/>
        </w:rPr>
        <w:t xml:space="preserve">Closed-renewal retention sits at 82.7%</w:t>
      </w:r>
      <w:r>
        <w:rPr>
          <w:sz w:val="20"/>
          <w:szCs w:val="20"/>
        </w:rPr>
        <w:t xml:space="preserve">: the marquee renewals land, but the base erodes at the margins, and each renewal turn the platform cannot answer the modernization question for is a candidate for that attrition column, not merely a delayed decision. The open book now gives the timing case a calendar, not just a pattern: Accenture V&amp;A $350K (09/01/2026 — 23% of the open pipe), Ford $90K, Graybar $19K, Fulton Financial Y2 $13K, IBMG $4K, plus $334K of FY27-exception deals pulled into the FY26 window (J&amp;J $93K, Marmon $92K, Kenvue $78K, Hexagon $36K, NovAtel $22K, Stanley Black &amp; Decker $14K) — a point-in-time sales projection, not recognized ARR, with two open accounts already flagged High-risk.</w:t>
      </w:r>
    </w:p>
    <w:p>
      <w:pPr>
        <w:spacing w:after="120"/>
      </w:pPr>
      <w:r>
        <w:rPr>
          <w:b/>
          <w:bCs/>
          <w:sz w:val="20"/>
          <w:szCs w:val="20"/>
        </w:rPr>
        <w:t xml:space="preserve">The company context sharpens the clock.</w:t>
      </w:r>
      <w:r>
        <w:rPr>
          <w:sz w:val="20"/>
          <w:szCs w:val="20"/>
        </w:rPr>
        <w:t xml:space="preserve"> The storming-to-normalizing transition (cost-cutting, then client-and-employee retention) stalled at "normalize": the step into performance never landed, and rehire capacity is now predicated on growth the current product is not producing. Prospects' skeptical-quiet has turned to indifferent-quiet — no new modules shipped, "nothing changing."</w:t>
      </w:r>
    </w:p>
    <w:p>
      <w:pPr>
        <w:spacing w:after="120"/>
      </w:pPr>
      <w:r>
        <w:rPr>
          <w:b/>
          <w:bCs/>
          <w:sz w:val="20"/>
          <w:szCs w:val="20"/>
        </w:rPr>
        <w:t xml:space="preserve">Finances — a factor, stated honestly.</w:t>
      </w:r>
      <w:r>
        <w:rPr>
          <w:sz w:val="20"/>
          <w:szCs w:val="20"/>
        </w:rPr>
        <w:t xml:space="preserve"> The Owner's intent (Thom — Owner &amp; Sole Investor) is endurance and growth, not harvest: the register is "innovate or die," with building something competitive framed as the way to be more valuable in any future transaction; a GSI partner's ventures lead frames the option as "recap, rebuild, win," recognizing the retained client-logo base as the differentiated asset. The implied clock is a funding-drain horizon — the CEO's named outcomes include "reduced investor funding drain in 2027," a qualitative pressure point, not a quantified one. The revenue baseline now exists (~$1.9M projected incl. the Aviator reseller line / $700.8K closed-won in Q1), but the hard runway figure — months of cash, monthly burn, cost-side exposure — is absent and stays a named flag (G-M02-RUNWAY); the FY26 workbook is a revenue projection carrying no cash position. Manufacturing a runway number would fail provenance at exactly the moment credibility matters most.</w:t>
      </w:r>
    </w:p>
    <w:p>
      <w:pPr>
        <w:spacing w:after="120"/>
      </w:pPr>
      <w:r>
        <w:rPr>
          <w:b/>
          <w:bCs/>
          <w:sz w:val="20"/>
          <w:szCs w:val="20"/>
        </w:rPr>
        <w:t xml:space="preserve">Competitive timing — structural drift, not an AI race.</w:t>
      </w:r>
      <w:r>
        <w:rPr>
          <w:sz w:val="20"/>
          <w:szCs w:val="20"/>
        </w:rPr>
        <w:t xml:space="preserve"> Every serious incumbent has converged on the same diligence-stage AI set, making it a commodity, not a closing window; framing "why now" as "everyone is adding AI" would be weak and mis-attributed. The honest pressure is that rivals modernize the *package* while Devensoft holds: DealRoom — the most dangerous structural rival — runs per-deal/unlimited-user pricing that directly attacks the seat-license friction, ships live MCP connectors to Claude, ChatGPT, and Copilot, and pairs Looker BI with editable PowerPoint export against Devensoft's image-only reporting; Midaxo carries an IDC MarketScape Leader badge (2025) Devensoft lacks. Each is a modernization axis where the gap widens every quarter Devensoft does not move, and none is copyable-late AI. The one greenfield seam — integration/PMI — is the one this plan chooses to invest in (M07 owns the depth). The clock is the drift, not an AI launch.</w:t>
      </w:r>
    </w:p>
    <w:p>
      <w:pPr>
        <w:spacing w:after="120"/>
      </w:pPr>
      <w:r>
        <w:rPr>
          <w:b/>
          <w:bCs/>
          <w:sz w:val="20"/>
          <w:szCs w:val="20"/>
        </w:rPr>
        <w:t xml:space="preserve">The horizon — nine months, not two.</w:t>
      </w:r>
      <w:r>
        <w:rPr>
          <w:sz w:val="20"/>
          <w:szCs w:val="20"/>
        </w:rPr>
        <w:t xml:space="preserve"> The confirmed planning horizon is ~9 months ("win the next battle," CEO 2026-08-07; reconfirmed 2026-08-10), incremental and iterative delivery. The earlier "2-month mandate" was a fabricated workspace placeholder, never the CEO's words, and is retired — referenced only to retire it. The honest caveat on even the 9-month horizon is execution discipline: the timeline depends on leadership holding the ~90/10 attention firewall when client urgencies arise, or the reactive-client-work pattern that overran the c.2020 modernization recurs and consumes the rebuild window.</w:t>
      </w:r>
    </w:p>
    <w:p>
      <w:pPr>
        <w:spacing w:after="120"/>
      </w:pPr>
      <w:r>
        <w:rPr>
          <w:sz w:val="20"/>
          <w:szCs w:val="20"/>
        </w:rPr>
        <w:t xml:space="preserve">The timing mandate resolves rather than re-decides: act inside the ~9-month window, against a base already turning at the renewal cycle, with Owner endurance (not exit) as the intent (per BTDR-0004 G4; per M12 — the exit branch is refuted there). Two flags bound the case: the hard runway figure stays open; the renewal cadence is substantially resolved but remains a point-in-time projection.</w:t>
      </w:r>
    </w:p>
    <w:p>
      <w:pPr>
        <w:spacing w:after="120"/>
      </w:pPr>
      <w:r>
        <w:rPr>
          <w:sz w:val="20"/>
          <w:szCs w:val="20"/>
        </w:rPr>
        <w:t xml:space="preserve">That timing bears on a specific customer base — who buys, who resists, and where the growth actually sits — which is the next section's ground.</w:t>
      </w:r>
    </w:p>
    <w:p>
      <w:pPr>
        <w:pStyle w:val="Heading1"/>
        <w:spacing w:after="80" w:before="240"/>
      </w:pPr>
      <w:r>
        <w:rPr>
          <w:b/>
          <w:bCs/>
          <w:sz w:val="26"/>
          <w:szCs w:val="26"/>
        </w:rPr>
        <w:t xml:space="preserve">M04 — Customers &amp; Segments [R·G·D]</w:t>
      </w:r>
    </w:p>
    <w:p>
      <w:pPr>
        <w:spacing w:after="100"/>
      </w:pPr>
      <w:r>
        <w:rPr>
          <w:i/>
          <w:iCs/>
          <w:color w:val="666666"/>
          <w:sz w:val="16"/>
          <w:szCs w:val="16"/>
        </w:rPr>
        <w:t xml:space="preserve">BLUF-20 rendering · sequence position 04 of 14 (shared foundation).</w:t>
      </w:r>
    </w:p>
    <w:p>
      <w:pPr>
        <w:spacing w:after="120"/>
      </w:pPr>
      <w:r>
        <w:rPr>
          <w:sz w:val="20"/>
          <w:szCs w:val="20"/>
        </w:rPr>
        <w:t xml:space="preserve">Devensoft's enterprise base is bought by a well-evidenced four-persona buying center led by an Integration Management Office (IMO) champion, resisted at the gate by IT/security, and defended by fixing the fundamentals those buyers already ask for — not by chasing AI (per modus-enterprise-insights; per demo-dwight-customer-voice). Growth beyond that base has two distinct paths: net-new enterprise wins on the same buying center, and a Lower-Middle-Market diversification play that remains commercially unvalidated. Four independent customer-voice streams — 640+ HubSpot support tickets, a 108-issue YouTrack census, 15 Modus enterprise interviews spanning J&amp;J, Accenture, DuPont, and Hexagon, and a recorded customer demo — agree on the same buying center, the same top pains, and the same absence of AI demand.</w:t>
      </w:r>
    </w:p>
    <w:p>
      <w:pPr>
        <w:spacing w:after="120"/>
      </w:pPr>
      <w:r>
        <w:rPr>
          <w:b/>
          <w:bCs/>
          <w:sz w:val="20"/>
          <w:szCs w:val="20"/>
        </w:rPr>
        <w:t xml:space="preserve">The buying center — four personas with distinct objections.</w:t>
      </w:r>
      <w:r>
        <w:rPr>
          <w:sz w:val="20"/>
          <w:szCs w:val="20"/>
        </w:rPr>
        <w:t xml:space="preserve"> The </w:t>
      </w:r>
      <w:r>
        <w:rPr>
          <w:b/>
          <w:bCs/>
          <w:sz w:val="20"/>
          <w:szCs w:val="20"/>
        </w:rPr>
        <w:t xml:space="preserve">Strategic Executive</w:t>
      </w:r>
      <w:r>
        <w:rPr>
          <w:sz w:val="20"/>
          <w:szCs w:val="20"/>
        </w:rPr>
        <w:t xml:space="preserve"> (economic buyer — VP Corp Dev, Director Corp M&amp;A) wants exec-ready reporting and "time to synergy" — reporting granularity is this persona's named lever. The </w:t>
      </w:r>
      <w:r>
        <w:rPr>
          <w:b/>
          <w:bCs/>
          <w:sz w:val="20"/>
          <w:szCs w:val="20"/>
        </w:rPr>
        <w:t xml:space="preserve">Finance &amp; Ops Lead</w:t>
      </w:r>
      <w:r>
        <w:rPr>
          <w:sz w:val="20"/>
          <w:szCs w:val="20"/>
        </w:rPr>
        <w:t xml:space="preserve"> (champion — Senior Finance Director) owns adoption; adoption cost is the lever. The </w:t>
      </w:r>
      <w:r>
        <w:rPr>
          <w:b/>
          <w:bCs/>
          <w:sz w:val="20"/>
          <w:szCs w:val="20"/>
        </w:rPr>
        <w:t xml:space="preserve">Integration Manager</w:t>
      </w:r>
      <w:r>
        <w:rPr>
          <w:sz w:val="20"/>
          <w:szCs w:val="20"/>
        </w:rPr>
        <w:t xml:space="preserve"> (user-champion — Director PMI, Global PM) needs a stable, low-cognitive-load tool. The </w:t>
      </w:r>
      <w:r>
        <w:rPr>
          <w:b/>
          <w:bCs/>
          <w:sz w:val="20"/>
          <w:szCs w:val="20"/>
        </w:rPr>
        <w:t xml:space="preserve">M&amp;A Strategy Consultant</w:t>
      </w:r>
      <w:r>
        <w:rPr>
          <w:sz w:val="20"/>
          <w:szCs w:val="20"/>
        </w:rPr>
        <w:t xml:space="preserve"> (influencer — Accenture) shapes client-facing self-service expectations. The demo corroborates from the champion side: the IMO leader is "the person who wants the tool," and the economic-buyer role has drifted from the deal's managing director toward the IMO over roughly nine to ten years. Each persona's objection is a named lever for the fundamentals-first defense argued in the capabilities section — not a feature wish-list.</w:t>
      </w:r>
    </w:p>
    <w:p>
      <w:pPr>
        <w:spacing w:after="120"/>
      </w:pPr>
      <w:r>
        <w:rPr>
          <w:b/>
          <w:bCs/>
          <w:sz w:val="20"/>
          <w:szCs w:val="20"/>
        </w:rPr>
        <w:t xml:space="preserve">The resistance — the customer's own IT/security team.</w:t>
      </w:r>
      <w:r>
        <w:rPr>
          <w:sz w:val="20"/>
          <w:szCs w:val="20"/>
        </w:rPr>
        <w:t xml:space="preserve"> "Some of the most resistant... is the IT team, surprisingly" — a resistance the sales/demo motion must disarm upfront rather than treat as a late objection. Modus's independent research corroborates the gatekeeping from the delivery side (Implementation scored 1/5 on technical maturity). Because the resistance is procedural — access, permissioning, reliability — rather than feature-driven, it is directly addressed by the same access/reliability fundamentals this plan already prioritizes, not by new capability investment.</w:t>
      </w:r>
    </w:p>
    <w:p>
      <w:pPr>
        <w:spacing w:after="120"/>
      </w:pPr>
      <w:r>
        <w:rPr>
          <w:b/>
          <w:bCs/>
          <w:sz w:val="20"/>
          <w:szCs w:val="20"/>
        </w:rPr>
        <w:t xml:space="preserve">The LMM thesis — provisional.</w:t>
      </w:r>
      <w:r>
        <w:rPr>
          <w:sz w:val="20"/>
          <w:szCs w:val="20"/>
        </w:rPr>
        <w:t xml:space="preserve"> The thesis targets a </w:t>
      </w:r>
      <w:r>
        <w:rPr>
          <w:b/>
          <w:bCs/>
          <w:sz w:val="20"/>
          <w:szCs w:val="20"/>
        </w:rPr>
        <w:t xml:space="preserve">$5M–$50M</w:t>
      </w:r>
      <w:r>
        <w:rPr>
          <w:sz w:val="20"/>
          <w:szCs w:val="20"/>
        </w:rPr>
        <w:t xml:space="preserve"> sweet spot within a broader $5M–$500M band, driven by a macro wave of retiring founders in fragmented industries, pitching two buy-side-only personas — the solo Search Fund Operator and the Portfolio/Programmatic Acquirer — underserved by a "False Choice" between point-solution tools (the Lean Trap) and legacy enterprise platforms, Devensoft's own included (the Enterprise Trap). The research explicitly places the enterprise platform inside the trap it proposes to bridge past — implying any Diversify product is a distinct product line. All of it is Devensoft-originated ideation research (2026-04/05), synthesized via NotebookLM, market-unvalidated: no fake-door signal, no customer data, so every figure is directional (per lmm-thesis). The thesis is conditional on four kill-conditions (Enterprise Trap immutability, displacement-gap volume, infrastructure as force-multiplier, low-CAC community reach) that have not been tested against real demand.</w:t>
      </w:r>
    </w:p>
    <w:p>
      <w:pPr>
        <w:spacing w:after="120"/>
      </w:pPr>
      <w:r>
        <w:rPr>
          <w:b/>
          <w:bCs/>
          <w:sz w:val="20"/>
          <w:szCs w:val="20"/>
        </w:rPr>
        <w:t xml:space="preserve">Where demand actually concentrates.</w:t>
      </w:r>
      <w:r>
        <w:rPr>
          <w:sz w:val="20"/>
          <w:szCs w:val="20"/>
        </w:rPr>
        <w:t xml:space="preserve"> Both internal streams agree: </w:t>
      </w:r>
      <w:r>
        <w:rPr>
          <w:b/>
          <w:bCs/>
          <w:sz w:val="20"/>
          <w:szCs w:val="20"/>
        </w:rPr>
        <w:t xml:space="preserve">reporting</w:t>
      </w:r>
      <w:r>
        <w:rPr>
          <w:sz w:val="20"/>
          <w:szCs w:val="20"/>
        </w:rPr>
        <w:t xml:space="preserve"> is the #1 capability cluster (YouTrack 18/108 at 16.7%, the single largest in a full unsampled count; HubSpot ~86 tickets from a separate 640-ticket channel) and </w:t>
      </w:r>
      <w:r>
        <w:rPr>
          <w:b/>
          <w:bCs/>
          <w:sz w:val="20"/>
          <w:szCs w:val="20"/>
        </w:rPr>
        <w:t xml:space="preserve">access/reliability</w:t>
      </w:r>
      <w:r>
        <w:rPr>
          <w:sz w:val="20"/>
          <w:szCs w:val="20"/>
        </w:rPr>
        <w:t xml:space="preserve"> the #1 pain (16/108 at 14.8%, including the only demand-side Show-stopper — the Accenture V&amp;A 403 error; login denials, session timeouts, and "updates didn't stick" recur across the support corpus). Rolling in bug/stability and performance, reporting plus fundamentals accounts for </w:t>
      </w:r>
      <w:r>
        <w:rPr>
          <w:b/>
          <w:bCs/>
          <w:sz w:val="20"/>
          <w:szCs w:val="20"/>
        </w:rPr>
        <w:t xml:space="preserve">51 of 108 issues (47.2%)</w:t>
      </w:r>
      <w:r>
        <w:rPr>
          <w:sz w:val="20"/>
          <w:szCs w:val="20"/>
        </w:rPr>
        <w:t xml:space="preserve"> — essentially half of all demand. Direct AI demand is zero in the census (0/108, 0.0%), with exactly one customer-authored AI ask (an API-driven chatbot) in the support stream. Demand-driven prioritization argues fundamentals first; AI earns its seat on efficiency and differentiation grounds, not a demand pull that does not exist.</w:t>
      </w:r>
    </w:p>
    <w:p>
      <w:pPr>
        <w:spacing w:after="120"/>
      </w:pPr>
      <w:r>
        <w:rPr>
          <w:b/>
          <w:bCs/>
          <w:sz w:val="20"/>
          <w:szCs w:val="20"/>
        </w:rPr>
        <w:t xml:space="preserve">The decision — resolved.</w:t>
      </w:r>
      <w:r>
        <w:rPr>
          <w:sz w:val="20"/>
          <w:szCs w:val="20"/>
        </w:rPr>
        <w:t xml:space="preserve"> BTDR-0004 (locked 2026-08-06) resolves the enterprise-defend-vs-LMM-attack question as </w:t>
      </w:r>
      <w:r>
        <w:rPr>
          <w:b/>
          <w:bCs/>
          <w:sz w:val="20"/>
          <w:szCs w:val="20"/>
        </w:rPr>
        <w:t xml:space="preserve">"Hedge, sequenced"</w:t>
      </w:r>
      <w:r>
        <w:rPr>
          <w:sz w:val="20"/>
          <w:szCs w:val="20"/>
        </w:rPr>
        <w:t xml:space="preserve">: support both objectives, but sequence and scope them honestly rather than pick one exclusively — a layered AI posture, a risk-tiered model-governance rule, and an incremental ~nine-month delivery horizon that lands fundamentals first. The evidence asymmetry in this section — strong, corroborated enterprise demand vs thin, unvalidated LMM demand — is exactly what makes the hedge, not an all-in bet on either side, the defensible read; downstream modules inherit the resolution rather than re-litigate it. Two flags stay open: mid-market sizing (no TAM/SAM/SOM exists — the band is synthesized framing, not a commissioned study) and persona depth (two synthesized LMM personas vs 15 interviewed enterprise stakeholders; any LMM GTM decision before deepening them rests on thinner evidence than the enterprise side).</w:t>
      </w:r>
    </w:p>
    <w:p>
      <w:pPr>
        <w:spacing w:after="120"/>
      </w:pPr>
      <w:r>
        <w:rPr>
          <w:sz w:val="20"/>
          <w:szCs w:val="20"/>
        </w:rPr>
        <w:t xml:space="preserve">These customers demand specific capabilities — and which of those capabilities are worth owning, fixing, enabling, buying, or refusing is the inventory the next section sorts.</w:t>
      </w:r>
    </w:p>
    <w:p>
      <w:pPr>
        <w:pStyle w:val="Heading1"/>
        <w:spacing w:after="80" w:before="240"/>
      </w:pPr>
      <w:r>
        <w:rPr>
          <w:b/>
          <w:bCs/>
          <w:sz w:val="26"/>
          <w:szCs w:val="26"/>
        </w:rPr>
        <w:t xml:space="preserve">M08 — Core Capabilities [R·G·D]</w:t>
      </w:r>
    </w:p>
    <w:p>
      <w:pPr>
        <w:spacing w:after="100"/>
      </w:pPr>
      <w:r>
        <w:rPr>
          <w:i/>
          <w:iCs/>
          <w:color w:val="666666"/>
          <w:sz w:val="16"/>
          <w:szCs w:val="16"/>
        </w:rPr>
        <w:t xml:space="preserve">BLUF-20 rendering · sequence position 05 of 14 (shared foundation).</w:t>
      </w:r>
    </w:p>
    <w:p>
      <w:pPr>
        <w:spacing w:after="120"/>
      </w:pPr>
      <w:r>
        <w:rPr>
          <w:sz w:val="20"/>
          <w:szCs w:val="20"/>
        </w:rPr>
        <w:t xml:space="preserve">The capability set the future state needs sorts into four tiers — not three: Core IP splits, Foundations breaks, Enablers unlock, Outsource distinguishes. Every line traces to a named source, not a feature wishlist (per youtrack-demand; per hubspot-customer-voice; per competitor-feature-parity-matrix; per demo-dwight-customer-voice).</w:t>
      </w:r>
    </w:p>
    <w:p>
      <w:pPr>
        <w:spacing w:after="120"/>
      </w:pPr>
      <w:r>
        <w:rPr>
          <w:b/>
          <w:bCs/>
          <w:sz w:val="20"/>
          <w:szCs w:val="20"/>
        </w:rPr>
        <w:t xml:space="preserve">Core IP — settled.</w:t>
      </w:r>
      <w:r>
        <w:rPr>
          <w:sz w:val="20"/>
          <w:szCs w:val="20"/>
        </w:rPr>
        <w:t xml:space="preserve"> Three lines are the platform's identity, settled by evidence or shipment today. </w:t>
      </w:r>
      <w:r>
        <w:rPr>
          <w:b/>
          <w:bCs/>
          <w:sz w:val="20"/>
          <w:szCs w:val="20"/>
        </w:rPr>
        <w:t xml:space="preserve">End-to-end lifecycle integration</w:t>
      </w:r>
      <w:r>
        <w:rPr>
          <w:sz w:val="20"/>
          <w:szCs w:val="20"/>
        </w:rPr>
        <w:t xml:space="preserve">: the five pillars — Targets (Pipeline Management), Due Diligence, Programs (Post-Merger Integration), Synergy Tracking, Legal Workflow — are one capability running in a single shared data model across all nine M&amp;A lifecycle stages; a Target flows through the pipeline and converts to a Program at the deal-winning seam no competitor models the same way. Naming the pillars individually invites "we have pipeline management too" commodity comparisons; naming them as one integrated lifecycle line is the differentiation argument. The honest lifecycle-fit assessment: against the canonical stage-need bar, v23 scores </w:t>
      </w:r>
      <w:r>
        <w:rPr>
          <w:b/>
          <w:bCs/>
          <w:sz w:val="20"/>
          <w:szCs w:val="20"/>
        </w:rPr>
        <w:t xml:space="preserve">zero natively-covered stages</w:t>
      </w:r>
      <w:r>
        <w:rPr>
          <w:sz w:val="20"/>
          <w:szCs w:val="20"/>
        </w:rPr>
        <w:t xml:space="preserve"> — three stages in the configurability band (Pipeline Management 72, Due Diligence 75, Integration Execution 75), five partial, one (Regulatory &amp; Compliance, at 5) effectively absent; the back-half strength (Integration Planning 63, Execution 75, Value Realization 62) is real but configuration-shaped rather than native (per fit-to-need-canonical, AGREED 2026-08-18; rubric 81–100 native · 66–80 configurability · 31–65 partial). Three proof points sit underneath: the Data Requests/TSA modules built from a real 10,000-line-item deal pain; the </w:t>
      </w:r>
      <w:r>
        <w:rPr>
          <w:b/>
          <w:bCs/>
          <w:sz w:val="20"/>
          <w:szCs w:val="20"/>
        </w:rPr>
        <w:t xml:space="preserve">audit log</w:t>
      </w:r>
      <w:r>
        <w:rPr>
          <w:sz w:val="20"/>
          <w:szCs w:val="20"/>
        </w:rPr>
        <w:t xml:space="preserve"> — shipped, uncontested, regulator-ready, DORA-aligned, "ends regulator conversations"; and the PMI/Synergy/Legal depth at stages 7–9 where no rival's product reaches. </w:t>
      </w:r>
      <w:r>
        <w:rPr>
          <w:b/>
          <w:bCs/>
          <w:sz w:val="20"/>
          <w:szCs w:val="20"/>
        </w:rPr>
        <w:t xml:space="preserve">Reporting &amp; Analytics</w:t>
      </w:r>
      <w:r>
        <w:rPr>
          <w:sz w:val="20"/>
          <w:szCs w:val="20"/>
        </w:rPr>
        <w:t xml:space="preserve"> is the one capability every measured signal agrees on — the #1 demand across three independent streams — and the credible floor-tier AI bet, conditional on a time-boxed PoC (per BTDR-0004).</w:t>
      </w:r>
    </w:p>
    <w:p>
      <w:pPr>
        <w:spacing w:after="120"/>
      </w:pPr>
      <w:r>
        <w:rPr>
          <w:b/>
          <w:bCs/>
          <w:sz w:val="20"/>
          <w:szCs w:val="20"/>
        </w:rPr>
        <w:t xml:space="preserve">Core IP — candidates (the fund/throttle/defer ask).</w:t>
      </w:r>
      <w:r>
        <w:rPr>
          <w:sz w:val="20"/>
          <w:szCs w:val="20"/>
        </w:rPr>
        <w:t xml:space="preserve"> Three lines earn their place by differentiation or vision, not demand convergence, and need Eric and Thom's investment decision, judged on five criteria (capital, capacity, time-to-market, differentiation durability, downstream unlock). </w:t>
      </w:r>
      <w:r>
        <w:rPr>
          <w:b/>
          <w:bCs/>
          <w:sz w:val="20"/>
          <w:szCs w:val="20"/>
        </w:rPr>
        <w:t xml:space="preserve">Integration/PMI-seam AI</w:t>
      </w:r>
      <w:r>
        <w:rPr>
          <w:sz w:val="20"/>
          <w:szCs w:val="20"/>
        </w:rPr>
        <w:t xml:space="preserve"> — the strongest by differentiation: no rival in the competitive set ships it, unlike the commodity diligence-AI every rival carries. </w:t>
      </w:r>
      <w:r>
        <w:rPr>
          <w:b/>
          <w:bCs/>
          <w:sz w:val="20"/>
          <w:szCs w:val="20"/>
        </w:rPr>
        <w:t xml:space="preserve">Agent-led onboarding (DevenMCP)</w:t>
      </w:r>
      <w:r>
        <w:rPr>
          <w:sz w:val="20"/>
          <w:szCs w:val="20"/>
        </w:rPr>
        <w:t xml:space="preserve"> — a candidate by vision: a working consumer of the platform's hypermedia API already exists (an Aurelia2 SPA navigating Deven Connect across thirteen entities), making it more than speculative, but it remains a vault-documented thesis — fund as a bet, not a committed line; its hard dependency (validation rules not introspectable through the modern API) is named fog. </w:t>
      </w:r>
      <w:r>
        <w:rPr>
          <w:b/>
          <w:bCs/>
          <w:sz w:val="20"/>
          <w:szCs w:val="20"/>
        </w:rPr>
        <w:t xml:space="preserve">Security &amp; Compliance maturity</w:t>
      </w:r>
      <w:r>
        <w:rPr>
          <w:sz w:val="20"/>
          <w:szCs w:val="20"/>
        </w:rPr>
        <w:t xml:space="preserve"> — aspirational differentiation: the full AI-governance ADR suite could constitute a procurement moat most competitors cannot produce, but it is </w:t>
      </w:r>
      <w:r>
        <w:rPr>
          <w:b/>
          <w:bCs/>
          <w:sz w:val="20"/>
          <w:szCs w:val="20"/>
        </w:rPr>
        <w:t xml:space="preserve">conditional</w:t>
      </w:r>
      <w:r>
        <w:rPr>
          <w:sz w:val="20"/>
          <w:szCs w:val="20"/>
        </w:rPr>
        <w:t xml:space="preserve"> on verifying the unopened 53-question client governance report the ADR suite cites; until confirmed, the moat claim is directionally likely, not verified.</w:t>
      </w:r>
    </w:p>
    <w:p>
      <w:pPr>
        <w:spacing w:after="120"/>
      </w:pPr>
      <w:r>
        <w:rPr>
          <w:b/>
          <w:bCs/>
          <w:sz w:val="20"/>
          <w:szCs w:val="20"/>
        </w:rPr>
        <w:t xml:space="preserve">Foundations — the broken floor.</w:t>
      </w:r>
      <w:r>
        <w:rPr>
          <w:sz w:val="20"/>
          <w:szCs w:val="20"/>
        </w:rPr>
        <w:t xml:space="preserve"> Two wounds every evidence stream names independently, both table-stakes remediation rather than strategic investment. </w:t>
      </w:r>
      <w:r>
        <w:rPr>
          <w:b/>
          <w:bCs/>
          <w:sz w:val="20"/>
          <w:szCs w:val="20"/>
        </w:rPr>
        <w:t xml:space="preserve">Access and reliability basics</w:t>
      </w:r>
      <w:r>
        <w:rPr>
          <w:sz w:val="20"/>
          <w:szCs w:val="20"/>
        </w:rPr>
        <w:t xml:space="preserve"> — login denials, blank-password errors, session timeouts, the general "I can't get into the tool" class: the #1 *pain* in the YouTrack census (16/108, 14.8%), ahead of every other theme including reporting; not a strategic gap but a floor-level failure that erodes trust in everything else. </w:t>
      </w:r>
      <w:r>
        <w:rPr>
          <w:b/>
          <w:bCs/>
          <w:sz w:val="20"/>
          <w:szCs w:val="20"/>
        </w:rPr>
        <w:t xml:space="preserve">UX and configuration-debt remediation</w:t>
      </w:r>
      <w:r>
        <w:rPr>
          <w:sz w:val="20"/>
          <w:szCs w:val="20"/>
        </w:rPr>
        <w:t xml:space="preserve"> — the cumulative cost of a configuration-driven architecture operating without a design system or component library: nine configuration levers let one codebase serve boutique-to-enterprise, but no two clients see identical UIs, navigation has accreted across 20 years, and the commercial impact is quantified — 20+ training sessions to proficiency (a CAC problem that makes the sales-led model unscalable), 30–40% capability utilization, and roughly 32% churn risk from a bad first experience (per modus-enterprise-insights; per platform-customizability-breadth).</w:t>
      </w:r>
    </w:p>
    <w:p>
      <w:pPr>
        <w:spacing w:after="120"/>
      </w:pPr>
      <w:r>
        <w:rPr>
          <w:b/>
          <w:bCs/>
          <w:sz w:val="20"/>
          <w:szCs w:val="20"/>
        </w:rPr>
        <w:t xml:space="preserve">Enablers — the strategic investment layer.</w:t>
      </w:r>
      <w:r>
        <w:rPr>
          <w:sz w:val="20"/>
          <w:szCs w:val="20"/>
        </w:rPr>
        <w:t xml:space="preserve"> Nothing sellable below the enterprise price point exists without them; they are capability arguments here, sequencing in §10, packaging in §11. </w:t>
      </w:r>
      <w:r>
        <w:rPr>
          <w:b/>
          <w:bCs/>
          <w:sz w:val="20"/>
          <w:szCs w:val="20"/>
        </w:rPr>
        <w:t xml:space="preserve">Modularization</w:t>
      </w:r>
      <w:r>
        <w:rPr>
          <w:sz w:val="20"/>
          <w:szCs w:val="20"/>
        </w:rPr>
        <w:t xml:space="preserve"> — Modus's explicit mandate ("productize or create modules"; replace bespoke per-instance Workstreams with standardized "Streams of Value" backed by a reusable component library): what makes a self-serve product tier commercially legible. </w:t>
      </w:r>
      <w:r>
        <w:rPr>
          <w:b/>
          <w:bCs/>
          <w:sz w:val="20"/>
          <w:szCs w:val="20"/>
        </w:rPr>
        <w:t xml:space="preserve">Frontend/backend decoupling</w:t>
      </w:r>
      <w:r>
        <w:rPr>
          <w:sz w:val="20"/>
          <w:szCs w:val="20"/>
        </w:rPr>
        <w:t xml:space="preserve"> — the technical-debt register names the coupling that blocks independent deployment (one Angular app, single router, bridged into the legacy MVC shell); a real fork exists (Strangler-Fig vs cleaner rebuild) that defers to §10. </w:t>
      </w:r>
      <w:r>
        <w:rPr>
          <w:b/>
          <w:bCs/>
          <w:sz w:val="20"/>
          <w:szCs w:val="20"/>
        </w:rPr>
        <w:t xml:space="preserve">The Deven Connect API surface</w:t>
      </w:r>
      <w:r>
        <w:rPr>
          <w:sz w:val="20"/>
          <w:szCs w:val="20"/>
        </w:rPr>
        <w:t xml:space="preserve"> — Level-3 REST (Collection+JSON HATEOAS) with a live proof-of-consumer and a scoped punch-list of surfaced gaps (missing total-count metadata, an inconsistent 404, casing drift) — not an open architecture question.</w:t>
      </w:r>
    </w:p>
    <w:p>
      <w:pPr>
        <w:spacing w:after="120"/>
      </w:pPr>
      <w:r>
        <w:rPr>
          <w:b/>
          <w:bCs/>
          <w:sz w:val="20"/>
          <w:szCs w:val="20"/>
        </w:rPr>
        <w:t xml:space="preserve">Outsource/Non-build — three structurally different postures.</w:t>
      </w:r>
      <w:r>
        <w:rPr>
          <w:sz w:val="20"/>
          <w:szCs w:val="20"/>
        </w:rPr>
        <w:t xml:space="preserve"> </w:t>
      </w:r>
      <w:r>
        <w:rPr>
          <w:b/>
          <w:bCs/>
          <w:sz w:val="20"/>
          <w:szCs w:val="20"/>
        </w:rPr>
        <w:t xml:space="preserve">Buy</w:t>
      </w:r>
      <w:r>
        <w:rPr>
          <w:sz w:val="20"/>
          <w:szCs w:val="20"/>
        </w:rPr>
        <w:t xml:space="preserve">: the SSRS engine — the reporting *capability* is Core IP, but the engine requires a Devensoft code-change to modify any report and exports image-only PowerPoint; replace it with a modern BI platform (the open ask: which platform, what timeline). Auth is the locked Buy (BTDR-0008 — Clerk/Auth0, deleting auth code rather than writing it). </w:t>
      </w:r>
      <w:r>
        <w:rPr>
          <w:b/>
          <w:bCs/>
          <w:sz w:val="20"/>
          <w:szCs w:val="20"/>
        </w:rPr>
        <w:t xml:space="preserve">Don't build</w:t>
      </w:r>
      <w:r>
        <w:rPr>
          <w:sz w:val="20"/>
          <w:szCs w:val="20"/>
        </w:rPr>
        <w:t xml:space="preserve">: commodity enterprise diligence-AI — every rival ships it; building a "me-too" spends capacity to match a feature no evidence stream asks for. </w:t>
      </w:r>
      <w:r>
        <w:rPr>
          <w:b/>
          <w:bCs/>
          <w:sz w:val="20"/>
          <w:szCs w:val="20"/>
        </w:rPr>
        <w:t xml:space="preserve">Customer-supplies</w:t>
      </w:r>
      <w:r>
        <w:rPr>
          <w:sz w:val="20"/>
          <w:szCs w:val="20"/>
        </w:rPr>
        <w:t xml:space="preserve">: BYOM at the enterprise tier — the customer's own model serves platform AI uniformly, keeping Devensoft out of the sub-processor/compliance path; zero inference cost, onboarding burden shifts to the customer. Most of this tier is already locked (BTDR-0004/0008).</w:t>
      </w:r>
    </w:p>
    <w:p>
      <w:pPr>
        <w:spacing w:after="120"/>
      </w:pPr>
      <w:r>
        <w:rPr>
          <w:sz w:val="20"/>
          <w:szCs w:val="20"/>
        </w:rPr>
        <w:t xml:space="preserve">Named fog travels with the inventory: the validation-not-introspectable API gap (a direct blocker for any agent-assisted or dynamically-generated frontend); the 53-question report unverified; the extraction-path fork (→ §10); product breadth (→ §11 and the LMM Vehicle Choice).</w:t>
      </w:r>
    </w:p>
    <w:p>
      <w:pPr>
        <w:spacing w:after="120"/>
      </w:pPr>
      <w:r>
        <w:rPr>
          <w:sz w:val="20"/>
          <w:szCs w:val="20"/>
        </w:rPr>
        <w:t xml:space="preserve">The investment decisions this forces — which candidates get funded — are leadership asks, not conclusions this plan reaches alone. But the settled Core IP and the Foundations floor are not optional, and betting on them without naming the risks would be reckless — the risk surface is exactly what the next section takes up.</w:t>
      </w:r>
    </w:p>
    <w:p>
      <w:pPr>
        <w:pStyle w:val="Heading1"/>
        <w:spacing w:after="80" w:before="240"/>
      </w:pPr>
      <w:r>
        <w:rPr>
          <w:b/>
          <w:bCs/>
          <w:sz w:val="26"/>
          <w:szCs w:val="26"/>
        </w:rPr>
        <w:t xml:space="preserve">M12 — Risks, Assumptions &amp; Decisions [R·G·D]</w:t>
      </w:r>
    </w:p>
    <w:p>
      <w:pPr>
        <w:spacing w:after="100"/>
      </w:pPr>
      <w:r>
        <w:rPr>
          <w:i/>
          <w:iCs/>
          <w:color w:val="666666"/>
          <w:sz w:val="16"/>
          <w:szCs w:val="16"/>
        </w:rPr>
        <w:t xml:space="preserve">BLUF-20 rendering · sequence position 06 of 14 (shared foundation).</w:t>
      </w:r>
    </w:p>
    <w:p>
      <w:pPr>
        <w:spacing w:after="120"/>
      </w:pPr>
      <w:r>
        <w:rPr>
          <w:sz w:val="20"/>
          <w:szCs w:val="20"/>
        </w:rPr>
        <w:t xml:space="preserve">The plan's downside is not a list of independent risks but a fragile base that shapes how a two-front hedge is sequenced. The Retain base — ~22 concentrated active companies, 82.7% closed-renewal retention, $700.8K closed-won against a $1.92M projection, Stryker's $200K alone ~2.3× the median realized ACV, Deven Connect's $75k MSRP resolved to $0 realized revenue — means a single lost renewal materially changes the cash position that funds everything else (per fy26-financial-baseline, provisional — internal projection, not recognized ARR; per BTDR-0007 Am.1). That is why the posture stays </w:t>
      </w:r>
      <w:r>
        <w:rPr>
          <w:b/>
          <w:bCs/>
          <w:sz w:val="20"/>
          <w:szCs w:val="20"/>
        </w:rPr>
        <w:t xml:space="preserve">"Hedge, sequenced"</w:t>
      </w:r>
      <w:r>
        <w:rPr>
          <w:sz w:val="20"/>
          <w:szCs w:val="20"/>
        </w:rPr>
        <w:t xml:space="preserve"> with fundamentals-first (G4) — the fragile base makes the Retain leg the sharper near-term risk, not a Retain-wins-everything rule — and why the 90/10 attention firewall coexists on its separate axis (per BTDR-0004).</w:t>
      </w:r>
    </w:p>
    <w:p>
      <w:pPr>
        <w:spacing w:after="120"/>
      </w:pPr>
      <w:r>
        <w:rPr>
          <w:b/>
          <w:bCs/>
          <w:sz w:val="20"/>
          <w:szCs w:val="20"/>
        </w:rPr>
        <w:t xml:space="preserve">The risk surface, named plainly.</w:t>
      </w:r>
      <w:r>
        <w:rPr>
          <w:sz w:val="20"/>
          <w:szCs w:val="20"/>
        </w:rPr>
        <w:t xml:space="preserve"> On the *Retain side*: the base being defended is itself eroding, while the competitive surface offers no relief — Devensoft ships zero diligence-AI against rivals who all ship it, and the #1 demand signal (reporting) is directly out-featured by Midaxo and DealRoom on real-time dashboards, scheduled delivery, and external BI, where Devensoft depends on SSRS code changes and image-only exports. The locked posture accepts the exposure deliberately — and the irony is sharpened by fundamentals-first sequencing: the base the Retain leg protects is the base that is eroding, which makes the deferral costlier, not safer. On the *AI side*: the differentiated win is narrower in-horizon than the full vision — the G5 split leaves a sliver (G5a) plus BYOM plus a conditional PoC (~12–16 dev-wk of in-horizon AI), with the full runtime core (G5b, ~22–34w) deferred post-horizon on the F1 serial gate; what ships inside the window is a sliver above an existing surface, not a re-architected AI platform. On the *Diversify side*: the Tier-1 slot is the deferred LMM Vehicle Choice, its capacity consequences branch-dependent (DevenLite ≈ ~47–53 of ~61.5 — it fits, barely, with the coupling-dominated ~32w minimum-guess possibly optimistic, DevenLite not entirely viable without its follow-ons, and DevenFiles unsized; DevenDiligence ≈ ~18–26; no choice = Tier-2 signal work only). On the *commercial side*: a split product line means two models to operate — seat-license plus premium tier vs PLG flat-tier; the AI-monetization asymmetry and its fair-use cap are enforcement surfaces that erode margin or trigger churn if miscalibrated; Deven Connect's dual role is a cannibalization risk if ungoverned; unit economics remain directional pending the baseline census. On *capacity*: the critical path </w:t>
      </w:r>
      <w:r>
        <w:rPr>
          <w:b/>
          <w:bCs/>
          <w:sz w:val="20"/>
          <w:szCs w:val="20"/>
        </w:rPr>
        <w:t xml:space="preserve">F6→F1→T2→T3→T7</w:t>
      </w:r>
      <w:r>
        <w:rPr>
          <w:sz w:val="20"/>
          <w:szCs w:val="20"/>
        </w:rPr>
        <w:t xml:space="preserve"> alone consumes roughly 4–7 of the nine months, layered on a thin branch-dependent margin — and the shared bench already runs ~136% over estimate on in-flight modernization work (LGCYEMA-511), readable as estimation-risk evidence. On the *LMM bet itself*: four kill-conditions (Enterprise Trap immutability, displacement-gap volume, infrastructure as force-multiplier, low-CAC community reach) with four named counter-arguments (over-engineering vs the searcher's 25–30% equity stake, one-and-done churn, cultural alienation, marketplace encroachment) — but only three measurable signals defined, and two of the four risks map to no signal at all: aspirationally, not operationally, complete.</w:t>
      </w:r>
    </w:p>
    <w:p>
      <w:pPr>
        <w:spacing w:after="120"/>
      </w:pPr>
      <w:r>
        <w:rPr>
          <w:b/>
          <w:bCs/>
          <w:sz w:val="20"/>
          <w:szCs w:val="20"/>
        </w:rPr>
        <w:t xml:space="preserve">Three decisions leadership owes.</w:t>
      </w:r>
      <w:r>
        <w:rPr>
          <w:sz w:val="20"/>
          <w:szCs w:val="20"/>
        </w:rPr>
        <w:t xml:space="preserve"> *Decision 1 — the LMM Vehicle Choice + Diversify breadth beyond it*: which vehicle, if any (DevenLite or DevenDiligence the Tier-1-live candidates, facts carried openly; no vehicle committed, none recommended), and whether the bet extends past the chosen vehicle — the D3 instrument's verdict covers C3/C4/C6 only, and Devenfy waits on the same signal (per BTDR-0010 Am.2). *Decision 2 — reporting-AI must-ship or stretch*: the F7 reporting-data foundation is costed (~5.5 dev-wk from the LGCYEMA-517 analog, confidence Medium) and the PoC layer ~4–6 dev-wk at LOW confidence; M10 places the ship-or-kill call mid-horizon as a soft gate, entangled with Decision 3 because the same capacity builds it. *Decision 3 — capacity-vs-ambition*: cut scope to what the ramp can ship, extend the horizon, or add capacity — against the sized envelope (105.3 total / ~43.8 floor / ~61.5 headroom), the branch-dependent Tier-1 draw, and the non-floor scope still unsized. What BTDR-0004 locks is the diagnosis each rests on; the leadership choices they force remain open. Alongside them: adopting the LMM kill-conditions as formal go/no-go gates — who owns running and reading the test, on what cadence, and what "no-go" actually triggers — is a pending decision not yet carried into a BTDR of its own.</w:t>
      </w:r>
    </w:p>
    <w:p>
      <w:pPr>
        <w:spacing w:after="120"/>
      </w:pPr>
      <w:r>
        <w:rPr>
          <w:b/>
          <w:bCs/>
          <w:sz w:val="20"/>
          <w:szCs w:val="20"/>
        </w:rPr>
        <w:t xml:space="preserve">Flag — risk quantification mostly absent.</w:t>
      </w:r>
      <w:r>
        <w:rPr>
          <w:sz w:val="20"/>
          <w:szCs w:val="20"/>
        </w:rPr>
        <w:t xml:space="preserve"> The capacity side, the largest gap when this section was first drafted, is now sized (floor ~32.5–49.5 dev-wk; envelope 105.3/~43.8/~61.5). What remains unquantified: the LMM kill-conditions' probabilities and dollar-at-risk; commercial unit economics (enterprise $/seat, CAC in dollars, LTV/CAC — directional benchmarks only); the F1 re-sizing (the sizing brief's 9/16 controller-endpoint estimate undercounts the actual surface — the swing factor on the critical path); and DevenFiles. Where the plan cannot yet quantify a risk, it says so plainly rather than inventing numbers — the decision list is written to force the remaining sizing work, not substitute for it.</w:t>
      </w:r>
    </w:p>
    <w:p>
      <w:pPr>
        <w:spacing w:after="120"/>
      </w:pPr>
      <w:r>
        <w:rPr>
          <w:sz w:val="20"/>
          <w:szCs w:val="20"/>
        </w:rPr>
        <w:t xml:space="preserve">Naming the downside only helps if success is checkable — the metrics, baselines, and instrumentation that make this plan verifiable are the next section's work.</w:t>
      </w:r>
    </w:p>
    <w:p>
      <w:pPr>
        <w:pStyle w:val="Heading1"/>
        <w:spacing w:after="80" w:before="240"/>
      </w:pPr>
      <w:r>
        <w:rPr>
          <w:b/>
          <w:bCs/>
          <w:sz w:val="26"/>
          <w:szCs w:val="26"/>
        </w:rPr>
        <w:t xml:space="preserve">M13 — Outcomes &amp; Success Metrics [R·G·D]</w:t>
      </w:r>
    </w:p>
    <w:p>
      <w:pPr>
        <w:spacing w:after="100"/>
      </w:pPr>
      <w:r>
        <w:rPr>
          <w:i/>
          <w:iCs/>
          <w:color w:val="666666"/>
          <w:sz w:val="16"/>
          <w:szCs w:val="16"/>
        </w:rPr>
        <w:t xml:space="preserve">BLUF-20 rendering · sequence position 07 of 14 (shared foundation).</w:t>
      </w:r>
    </w:p>
    <w:p>
      <w:pPr>
        <w:spacing w:after="120"/>
      </w:pPr>
      <w:r>
        <w:rPr>
          <w:sz w:val="20"/>
          <w:szCs w:val="20"/>
        </w:rPr>
        <w:t xml:space="preserve">Success is defined by a </w:t>
      </w:r>
      <w:r>
        <w:rPr>
          <w:b/>
          <w:bCs/>
          <w:sz w:val="20"/>
          <w:szCs w:val="20"/>
        </w:rPr>
        <w:t xml:space="preserve">two-tier causal chain</w:t>
      </w:r>
      <w:r>
        <w:rPr>
          <w:sz w:val="20"/>
          <w:szCs w:val="20"/>
        </w:rPr>
        <w:t xml:space="preserve">, not a flat KPI list. </w:t>
      </w:r>
      <w:r>
        <w:rPr>
          <w:b/>
          <w:bCs/>
          <w:sz w:val="20"/>
          <w:szCs w:val="20"/>
        </w:rPr>
        <w:t xml:space="preserve">Tier 1 — lagging, growth-first</w:t>
      </w:r>
      <w:r>
        <w:rPr>
          <w:sz w:val="20"/>
          <w:szCs w:val="20"/>
        </w:rPr>
        <w:t xml:space="preserve"> (the metrics the CEO named as the scoreboard, quarterly cadence): </w:t>
      </w:r>
      <w:r>
        <w:rPr>
          <w:b/>
          <w:bCs/>
          <w:sz w:val="20"/>
          <w:szCs w:val="20"/>
        </w:rPr>
        <w:t xml:space="preserve">net-new ARR</w:t>
      </w:r>
      <w:r>
        <w:rPr>
          <w:sz w:val="20"/>
          <w:szCs w:val="20"/>
        </w:rPr>
        <w:t xml:space="preserve"> — baseline $700,844 closed-won across 10 deals in Q1 FY26, booking-shape not recognized ARR (provisional); </w:t>
      </w:r>
      <w:r>
        <w:rPr>
          <w:b/>
          <w:bCs/>
          <w:sz w:val="20"/>
          <w:szCs w:val="20"/>
        </w:rPr>
        <w:t xml:space="preserve">Net Revenue Retention</w:t>
      </w:r>
      <w:r>
        <w:rPr>
          <w:sz w:val="20"/>
          <w:szCs w:val="20"/>
        </w:rPr>
        <w:t xml:space="preserve"> — 82.7% closed-renewal retention as the NRR proxy (closed-won ÷ closed-won + attrition; no expansion/contraction tracking exists), with $127,977 attrition across 7 named accounts — every one flagged High-risk pre-loss — as the concrete downside denominator. </w:t>
      </w:r>
      <w:r>
        <w:rPr>
          <w:b/>
          <w:bCs/>
          <w:sz w:val="20"/>
          <w:szCs w:val="20"/>
        </w:rPr>
        <w:t xml:space="preserve">Tier 2 — leading, operational</w:t>
      </w:r>
      <w:r>
        <w:rPr>
          <w:sz w:val="20"/>
          <w:szCs w:val="20"/>
        </w:rPr>
        <w:t xml:space="preserve"> (monthly cadence): </w:t>
      </w:r>
      <w:r>
        <w:rPr>
          <w:b/>
          <w:bCs/>
          <w:sz w:val="20"/>
          <w:szCs w:val="20"/>
        </w:rPr>
        <w:t xml:space="preserve">reporting-cycle compression</w:t>
      </w:r>
      <w:r>
        <w:rPr>
          <w:sz w:val="20"/>
          <w:szCs w:val="20"/>
        </w:rPr>
        <w:t xml:space="preserve"> — the #1 demand made measurable, directional baseline the customer-voiced "a status deck that takes the analyst 2–3 days... here we just did in a matter of seconds" (one voice, accepted as directional; systematic verification is a stretch goal, not a blocker); </w:t>
      </w:r>
      <w:r>
        <w:rPr>
          <w:b/>
          <w:bCs/>
          <w:sz w:val="20"/>
          <w:szCs w:val="20"/>
        </w:rPr>
        <w:t xml:space="preserve">maturity-scorecard progression</w:t>
      </w:r>
      <w:r>
        <w:rPr>
          <w:sz w:val="20"/>
          <w:szCs w:val="20"/>
        </w:rPr>
        <w:t xml:space="preserve"> — 2023 Modus baseline 1.5/5 (Validation 1, Prioritization 2, Alignment 1.5, Communications 1.5, Implementation 1 — externally validated via 15 interviews, three years old, carried as a reference label not a constraint). The causal logic is explicit and grounded in the plan's own evidence: if the fundamentals fixes and the F7 foundation compress the reporting cycle, customers experience value more directly, driving retention and creating the reference base for growth; if Tier 2 moves in months 1–9, Tier 1 has a defensible basis for landing in months 9–18. Without Tier 2 movement, Tier 1 is a wish.</w:t>
      </w:r>
    </w:p>
    <w:p>
      <w:pPr>
        <w:spacing w:after="120"/>
      </w:pPr>
      <w:r>
        <w:rPr>
          <w:b/>
          <w:bCs/>
          <w:sz w:val="20"/>
          <w:szCs w:val="20"/>
        </w:rPr>
        <w:t xml:space="preserve">Dual horizon, dual rhythm.</w:t>
      </w:r>
      <w:r>
        <w:rPr>
          <w:sz w:val="20"/>
          <w:szCs w:val="20"/>
        </w:rPr>
        <w:t xml:space="preserve"> The </w:t>
      </w:r>
      <w:r>
        <w:rPr>
          <w:b/>
          <w:bCs/>
          <w:sz w:val="20"/>
          <w:szCs w:val="20"/>
        </w:rPr>
        <w:t xml:space="preserve">nine-month leading scorecard</w:t>
      </w:r>
      <w:r>
        <w:rPr>
          <w:sz w:val="20"/>
          <w:szCs w:val="20"/>
        </w:rPr>
        <w:t xml:space="preserve"> (monthly) is the steering view — reporting-cycle movement, scorecard movement, plus the operational tier (support-trend, utilization, demand-trend, active-customer-count); if Tier 2 is not moving by month 3–4, the problem is execution, and the firewall or the ramp is where to intervene. The </w:t>
      </w:r>
      <w:r>
        <w:rPr>
          <w:b/>
          <w:bCs/>
          <w:sz w:val="20"/>
          <w:szCs w:val="20"/>
        </w:rPr>
        <w:t xml:space="preserve">twelve-to-eighteen-month lagging set</w:t>
      </w:r>
      <w:r>
        <w:rPr>
          <w:sz w:val="20"/>
          <w:szCs w:val="20"/>
        </w:rPr>
        <w:t xml:space="preserve"> (quarterly) is the market verdict — presented on its own horizon precisely because monthly revenue movement is noise, and because presenting lagging numbers on the execution horizon would create a false expectation the causal chain does not support. The </w:t>
      </w:r>
      <w:r>
        <w:rPr>
          <w:b/>
          <w:bCs/>
          <w:sz w:val="20"/>
          <w:szCs w:val="20"/>
        </w:rPr>
        <w:t xml:space="preserve">maturity scorecard</w:t>
      </w:r>
      <w:r>
        <w:rPr>
          <w:sz w:val="20"/>
          <w:szCs w:val="20"/>
        </w:rPr>
        <w:t xml:space="preserve"> runs twice (month 0 to establish the real baseline; month 9 to measure progression) — periodic, not continuous, because the dimensions move at quarter scale, not sprint scale.</w:t>
      </w:r>
    </w:p>
    <w:p>
      <w:pPr>
        <w:spacing w:after="120"/>
      </w:pPr>
      <w:r>
        <w:rPr>
          <w:b/>
          <w:bCs/>
          <w:sz w:val="20"/>
          <w:szCs w:val="20"/>
        </w:rPr>
        <w:t xml:space="preserve">The measurement gap becomes a workstream, not a confession.</w:t>
      </w:r>
      <w:r>
        <w:rPr>
          <w:sz w:val="20"/>
          <w:szCs w:val="20"/>
        </w:rPr>
        <w:t xml:space="preserve"> Three deliverables convert "baselines are absent" into "here is how we are building the instrumentation." The </w:t>
      </w:r>
      <w:r>
        <w:rPr>
          <w:b/>
          <w:bCs/>
          <w:sz w:val="20"/>
          <w:szCs w:val="20"/>
        </w:rPr>
        <w:t xml:space="preserve">CRM hygiene pass</w:t>
      </w:r>
      <w:r>
        <w:rPr>
          <w:sz w:val="20"/>
          <w:szCs w:val="20"/>
        </w:rPr>
        <w:t xml:space="preserve"> is complete: the portal's 19,649 companies / 33,000+ contacts / 1,749 tickets / 1,561 deals were &gt;99% non-actionable, and the pass classified every record across five segments to establish clean denominators — 25 active companies, 11 active deals, 30 active tickets, 61 active contacts (with a named quick win: tenant_url backfill toward a true active-customer-count). A </w:t>
      </w:r>
      <w:r>
        <w:rPr>
          <w:b/>
          <w:bCs/>
          <w:sz w:val="20"/>
          <w:szCs w:val="20"/>
        </w:rPr>
        <w:t xml:space="preserve">one-time baseline census</w:t>
      </w:r>
      <w:r>
        <w:rPr>
          <w:sz w:val="20"/>
          <w:szCs w:val="20"/>
        </w:rPr>
        <w:t xml:space="preserve"> registers what exists and what is missing — the living artifact the monthly scorecard reports against. A </w:t>
      </w:r>
      <w:r>
        <w:rPr>
          <w:b/>
          <w:bCs/>
          <w:sz w:val="20"/>
          <w:szCs w:val="20"/>
        </w:rPr>
        <w:t xml:space="preserve">feedback-portal capability</w:t>
      </w:r>
      <w:r>
        <w:rPr>
          <w:sz w:val="20"/>
          <w:szCs w:val="20"/>
        </w:rPr>
        <w:t xml:space="preserve"> (M13 names the need; M10/M08 execute) fills the build-instrument metrics over the window: the HubSpot CX/survey fields are empty not because customers declined but because the capture mechanism was never built. The result: </w:t>
      </w:r>
      <w:r>
        <w:rPr>
          <w:b/>
          <w:bCs/>
          <w:sz w:val="20"/>
          <w:szCs w:val="20"/>
        </w:rPr>
        <w:t xml:space="preserve">five of nine instrumentation-tier metrics now have directional baselines</w:t>
      </w:r>
      <w:r>
        <w:rPr>
          <w:sz w:val="20"/>
          <w:szCs w:val="20"/>
        </w:rPr>
        <w:t xml:space="preserve"> (support-trend, utilization, demand-trend, time-to-value directional, active-customer-count); the residual — true NRR, CAC/LTV, feature adoption, NPS/CSAT, API usage, competitive win-rate — is honestly flagged and pathed to resolution.</w:t>
      </w:r>
    </w:p>
    <w:p>
      <w:pPr>
        <w:spacing w:after="120"/>
      </w:pPr>
      <w:r>
        <w:rPr>
          <w:b/>
          <w:bCs/>
          <w:sz w:val="20"/>
          <w:szCs w:val="20"/>
        </w:rPr>
        <w:t xml:space="preserve">The instrument is built.</w:t>
      </w:r>
      <w:r>
        <w:rPr>
          <w:sz w:val="20"/>
          <w:szCs w:val="20"/>
        </w:rPr>
        <w:t xml:space="preserve"> The Tier-2 scorecard ships with a self-contained evidence-checklist: each of the five Modus dimensions becomes a cumulative 1–5 capability ladder where every level is defined by </w:t>
      </w:r>
      <w:r>
        <w:rPr>
          <w:b/>
          <w:bCs/>
          <w:sz w:val="20"/>
          <w:szCs w:val="20"/>
        </w:rPr>
        <w:t xml:space="preserve">observable evidence you can point to</w:t>
      </w:r>
      <w:r>
        <w:rPr>
          <w:sz w:val="20"/>
          <w:szCs w:val="20"/>
        </w:rPr>
        <w:t xml:space="preserve"> — documents that exist, processes that run, decisions that are traceable — so two assessors citing the same evidence converge on the same score. The method shift (interview-impression → evidence-gated self-assessment) is documented in the instrument itself; integer-only scoring retires the 2023 half-points. The remaining human step: a real month-0 baseline run (Diego + Roman scoring the organization), with the month-9 re-run measuring progression against it.</w:t>
      </w:r>
    </w:p>
    <w:p>
      <w:pPr>
        <w:spacing w:after="120"/>
      </w:pPr>
      <w:r>
        <w:rPr>
          <w:b/>
          <w:bCs/>
          <w:sz w:val="20"/>
          <w:szCs w:val="20"/>
        </w:rPr>
        <w:t xml:space="preserve">Two honesty mechanics close the section.</w:t>
      </w:r>
      <w:r>
        <w:rPr>
          <w:sz w:val="20"/>
          <w:szCs w:val="20"/>
        </w:rPr>
        <w:t xml:space="preserve"> Unverified marketing claims (48% time savings, 56% adoption, 7x reporting speed) are named once and excluded — no source in the evidence base confirms them, and a single demo moment is not a systematic measurement; a provenance gate, not a permanent exclusion. And targets are deferred, deliberately: metric *categories* are bet-agnostic (growth, retention, operational efficiency, organizational maturity hold under any posture); *target numbers* depend on leadership's investment commitment and the Diversify go/no-go — the format throughout is "baseline [directional or TBD per census]; target [deferred to the recommendations section, contingent on the bet]."</w:t>
      </w:r>
    </w:p>
    <w:p>
      <w:pPr>
        <w:spacing w:after="120"/>
      </w:pPr>
      <w:r>
        <w:rPr>
          <w:sz w:val="20"/>
          <w:szCs w:val="20"/>
        </w:rPr>
        <w:t xml:space="preserve">These metrics measure a bet placed in a market — and the market context behind them (the crowd, the opening, the honest competitive read) is where the compressed deep-dives that follow begin.</w:t>
      </w:r>
    </w:p>
    <w:p>
      <w:pPr>
        <w:pStyle w:val="Heading1"/>
        <w:spacing w:after="80" w:before="240"/>
      </w:pPr>
      <w:r>
        <w:rPr>
          <w:b/>
          <w:bCs/>
          <w:sz w:val="26"/>
          <w:szCs w:val="26"/>
        </w:rPr>
        <w:t xml:space="preserve">M03 — Market &amp; Competition [G·D] — deep-dive summary</w:t>
      </w:r>
    </w:p>
    <w:p>
      <w:pPr>
        <w:spacing w:after="100"/>
      </w:pPr>
      <w:r>
        <w:rPr>
          <w:i/>
          <w:iCs/>
          <w:color w:val="666666"/>
          <w:sz w:val="16"/>
          <w:szCs w:val="16"/>
        </w:rPr>
        <w:t xml:space="preserve">BLUF-20 rendering · sequence position 08 of 14 (deep-dive compressed per the distillation directive). Full depth: the comprehensive rendering.</w:t>
      </w:r>
    </w:p>
    <w:p>
      <w:pPr>
        <w:spacing w:after="120"/>
      </w:pPr>
      <w:r>
        <w:rPr>
          <w:sz w:val="20"/>
          <w:szCs w:val="20"/>
        </w:rPr>
        <w:t xml:space="preserve">The market context behind these metrics: the M&amp;A-lifecycle category is worth winning not because it is empty but because Devensoft already holds ground the crowd hasn't reached. The nearest sized proxy — the virtual-data-room market — runs ~$3.3B today toward $5.6–6.0B by 2029–2031 (10–18% CAGR; published estimates, not Devensoft-verified), with enterprise deals concentrating ~71% of spend and only moderate vendor concentration (top five ≈ 55–60%) — real room to take share, in the tier Devensoft already competes in.</w:t>
      </w:r>
    </w:p>
    <w:p>
      <w:pPr>
        <w:spacing w:after="120"/>
      </w:pPr>
      <w:r>
        <w:rPr>
          <w:sz w:val="20"/>
          <w:szCs w:val="20"/>
        </w:rPr>
        <w:t xml:space="preserve">The crowd: every serious incumbent (Midaxo, DealRoom, Datasite, Intralinks) has converged on the same diligence-stage AI set — commodity table-stakes, which Devensoft ships none of. Midaxo is the closest like-for-like rival (IDC Leader badge, broadest native AI); DealRoom is the structural attacker (per-deal/unlimited-user pricing, live MCP connectors, Looker BI); Datasite/Intralinks define the elite ceiling. The actual #1 competitor is the status quo — Excel, PowerPoint, SharePoint — to which users revert under friction.</w:t>
      </w:r>
    </w:p>
    <w:p>
      <w:pPr>
        <w:spacing w:after="120"/>
      </w:pPr>
      <w:r>
        <w:rPr>
          <w:sz w:val="20"/>
          <w:szCs w:val="20"/>
        </w:rPr>
        <w:t xml:space="preserve">The opening: no competitor has shipped AI at the PMI/synergy seam — Devensoft's historical center of gravity — reachable through the existing Deven Connect surface. Where to differentiate is locked (BTDR-0004 G1); the open levers are leadership appetite-calls. Flags: no standalone TAM for the full-lifecycle category; residual research gaps (API depth, pricing opacity, MCP write-back).</w:t>
      </w:r>
    </w:p>
    <w:p>
      <w:pPr>
        <w:spacing w:after="120"/>
      </w:pPr>
      <w:r>
        <w:rPr>
          <w:sz w:val="20"/>
          <w:szCs w:val="20"/>
        </w:rPr>
        <w:t xml:space="preserve">Where Devensoft honestly stands in that market — the current state the differentiation must be built on — is the next summary.</w:t>
      </w:r>
    </w:p>
    <w:p>
      <w:pPr>
        <w:pStyle w:val="Heading1"/>
        <w:spacing w:after="80" w:before="240"/>
      </w:pPr>
      <w:r>
        <w:rPr>
          <w:b/>
          <w:bCs/>
          <w:sz w:val="26"/>
          <w:szCs w:val="26"/>
        </w:rPr>
        <w:t xml:space="preserve">M05 — Current State (honest) [R] — deep-dive summary</w:t>
      </w:r>
    </w:p>
    <w:p>
      <w:pPr>
        <w:spacing w:after="100"/>
      </w:pPr>
      <w:r>
        <w:rPr>
          <w:i/>
          <w:iCs/>
          <w:color w:val="666666"/>
          <w:sz w:val="16"/>
          <w:szCs w:val="16"/>
        </w:rPr>
        <w:t xml:space="preserve">BLUF-20 rendering · sequence position 09 of 14 (deep-dive compressed). Full depth: the comprehensive rendering.</w:t>
      </w:r>
    </w:p>
    <w:p>
      <w:pPr>
        <w:spacing w:after="120"/>
      </w:pPr>
      <w:r>
        <w:rPr>
          <w:sz w:val="20"/>
          <w:szCs w:val="20"/>
        </w:rPr>
        <w:t xml:space="preserve">Where Devensoft honestly stands: a real, sticky enterprise platform running well below its potential. The five pillars (Targets, Due Diligence, Programs/PMI, Synergy, Legal) plus the Deven Connect API surface run as one codebase, multi-tenant or single-tenant by feature toggles — the mechanism later sections lean on for downmarket feasibility. Deven Connect's $75k MSRP is theoretical/market-rejected/$0 realized (BTDR-0007 Am.1).</w:t>
      </w:r>
    </w:p>
    <w:p>
      <w:pPr>
        <w:spacing w:after="120"/>
      </w:pPr>
      <w:r>
        <w:rPr>
          <w:sz w:val="20"/>
          <w:szCs w:val="20"/>
        </w:rPr>
        <w:t xml:space="preserve">The honest gaps, by the customers' own account: the </w:t>
      </w:r>
      <w:r>
        <w:rPr>
          <w:b/>
          <w:bCs/>
          <w:sz w:val="20"/>
          <w:szCs w:val="20"/>
        </w:rPr>
        <w:t xml:space="preserve">#1 pain is getting in and staying in</w:t>
      </w:r>
      <w:r>
        <w:rPr>
          <w:sz w:val="20"/>
          <w:szCs w:val="20"/>
        </w:rPr>
        <w:t xml:space="preserve"> — login denials, blank passwords, MFA resets, silent session timeouts (34+ of 640 HubSpot tickets; 16/108 YouTrack issues including the Accenture V&amp;A 403 Show-stopper) — not missing AI. The </w:t>
      </w:r>
      <w:r>
        <w:rPr>
          <w:b/>
          <w:bCs/>
          <w:sz w:val="20"/>
          <w:szCs w:val="20"/>
        </w:rPr>
        <w:t xml:space="preserve">#1 capability demand is reporting</w:t>
      </w:r>
      <w:r>
        <w:rPr>
          <w:sz w:val="20"/>
          <w:szCs w:val="20"/>
        </w:rPr>
        <w:t xml:space="preserve"> (86+ HubSpot tickets; 18/108 YouTrack including two Critical report bugs): timed-out report builders that lose work, dashboards that disagree on basic completion percentages, granularity too coarse for the C-suite. Utilization runs 30–40% of available capabilities; onboarding takes 20+ structured sessions; the 2023 Modus assessment scored product-strategy discipline at 1.5/5. Three separately gathered signals landing on the same answer is the strongest evidence this section has.</w:t>
      </w:r>
    </w:p>
    <w:p>
      <w:pPr>
        <w:spacing w:after="120"/>
      </w:pPr>
      <w:r>
        <w:rPr>
          <w:sz w:val="20"/>
          <w:szCs w:val="20"/>
        </w:rPr>
        <w:t xml:space="preserve">The fix the platform needs first is that it works reliably, not that it gets smarter. The future state that closes exactly these gaps — the Before→After story and the positioning that carries it — is the next summary.</w:t>
      </w:r>
    </w:p>
    <w:p>
      <w:pPr>
        <w:pStyle w:val="Heading1"/>
        <w:spacing w:after="80" w:before="240"/>
      </w:pPr>
      <w:r>
        <w:rPr>
          <w:b/>
          <w:bCs/>
          <w:sz w:val="26"/>
          <w:szCs w:val="26"/>
        </w:rPr>
        <w:t xml:space="preserve">M06 — Strategy / Future State [R·G·D] — deep-dive summary</w:t>
      </w:r>
    </w:p>
    <w:p>
      <w:pPr>
        <w:spacing w:after="100"/>
      </w:pPr>
      <w:r>
        <w:rPr>
          <w:i/>
          <w:iCs/>
          <w:color w:val="666666"/>
          <w:sz w:val="16"/>
          <w:szCs w:val="16"/>
        </w:rPr>
        <w:t xml:space="preserve">BLUF-20 rendering · sequence position 10 of 14 (deep-dive compressed). Full depth: the comprehensive rendering.</w:t>
      </w:r>
    </w:p>
    <w:p>
      <w:pPr>
        <w:spacing w:after="120"/>
      </w:pPr>
      <w:r>
        <w:rPr>
          <w:sz w:val="20"/>
          <w:szCs w:val="20"/>
        </w:rPr>
        <w:t xml:space="preserve">The future state that closes those gaps is the completion of a value proposition customers already validated: </w:t>
      </w:r>
      <w:r>
        <w:rPr>
          <w:b/>
          <w:bCs/>
          <w:sz w:val="20"/>
          <w:szCs w:val="20"/>
        </w:rPr>
        <w:t xml:space="preserve">transforming M&amp;A execution from a reactive, spreadsheet-driven process into a structured, data-driven operating model</w:t>
      </w:r>
      <w:r>
        <w:rPr>
          <w:sz w:val="20"/>
          <w:szCs w:val="20"/>
        </w:rPr>
        <w:t xml:space="preserve">. The strategy is dual-track — Devensoft v24 (modernized, API-first, AI-enabled) anchors defense and growth, while the Diversify first step is held as the leadership vehicle choice (the LMM Vehicle Choice; the plan commits to none), remaining candidates gated on demand signal (BTDR-0010 Am.2). Inside the hedge, the anchor track leads on capacity direction.</w:t>
      </w:r>
    </w:p>
    <w:p>
      <w:pPr>
        <w:spacing w:after="120"/>
      </w:pPr>
      <w:r>
        <w:rPr>
          <w:sz w:val="20"/>
          <w:szCs w:val="20"/>
        </w:rPr>
        <w:t xml:space="preserve">The story's axis is the customer's transformation, not the product architecture: the analyst who spends days rebuilding status reports stops rebuilding and starts acting; reporting cycles compress from days to seconds; "once teams experience operating with full visibility and connected data, they do not return to manual methods" — the words of a 35-year M&amp;A veteran who led the platform's deployment at the largest client, unprompted. The architecture (greenfield PLG frontends served by the modernized backend over the Deven Connect seam, F1-gated; the ladder Devenfy → DevenLite → Devensoft v24) is the mechanism subplot. The positioning holds as one master frame across both tracks: the platform is </w:t>
      </w:r>
      <w:r>
        <w:rPr>
          <w:b/>
          <w:bCs/>
          <w:sz w:val="20"/>
          <w:szCs w:val="20"/>
        </w:rPr>
        <w:t xml:space="preserve">a deal strengthener — critical infrastructure to the deal</w:t>
      </w:r>
      <w:r>
        <w:rPr>
          <w:sz w:val="20"/>
          <w:szCs w:val="20"/>
        </w:rPr>
        <w:t xml:space="preserve">, not another tool — customer-tested language that moves the product from rationalizable line-item to load-bearing infrastructure. The 9-month marker: fundamentals + reporting + the demand signal; the destination is the seam-AI winning move. Exit optionality is flagged, not pitched.</w:t>
      </w:r>
    </w:p>
    <w:p>
      <w:pPr>
        <w:spacing w:after="120"/>
      </w:pPr>
      <w:r>
        <w:rPr>
          <w:sz w:val="20"/>
          <w:szCs w:val="20"/>
        </w:rPr>
        <w:t xml:space="preserve">Where AI earns its seat in that future state — and where it doesn't — is the next summary.</w:t>
      </w:r>
    </w:p>
    <w:p>
      <w:pPr>
        <w:pStyle w:val="Heading1"/>
        <w:spacing w:after="80" w:before="240"/>
      </w:pPr>
      <w:r>
        <w:rPr>
          <w:b/>
          <w:bCs/>
          <w:sz w:val="26"/>
          <w:szCs w:val="26"/>
        </w:rPr>
        <w:t xml:space="preserve">M07 — AI Thesis [G·D] — deep-dive summary</w:t>
      </w:r>
    </w:p>
    <w:p>
      <w:pPr>
        <w:spacing w:after="100"/>
      </w:pPr>
      <w:r>
        <w:rPr>
          <w:i/>
          <w:iCs/>
          <w:color w:val="666666"/>
          <w:sz w:val="16"/>
          <w:szCs w:val="16"/>
        </w:rPr>
        <w:t xml:space="preserve">BLUF-20 rendering · sequence position 11 of 14 (deep-dive compressed). Full depth: the comprehensive rendering.</w:t>
      </w:r>
    </w:p>
    <w:p>
      <w:pPr>
        <w:spacing w:after="120"/>
      </w:pPr>
      <w:r>
        <w:rPr>
          <w:sz w:val="20"/>
          <w:szCs w:val="20"/>
        </w:rPr>
        <w:t xml:space="preserve">Where AI earns its seat: exactly two places — as a defensive "yes, we have AI" posture at the Deven Connect API layer, and as a genuine differentiator at the integration/PMI seam, where no rival has arrived. Where it doesn't: as the plan's headline, or inside due diligence, where four competitors already ship an identical commodity set.</w:t>
      </w:r>
    </w:p>
    <w:p>
      <w:pPr>
        <w:spacing w:after="120"/>
      </w:pPr>
      <w:r>
        <w:rPr>
          <w:sz w:val="20"/>
          <w:szCs w:val="20"/>
        </w:rPr>
        <w:t xml:space="preserve">This is demand-evidenced, not AI-averse: </w:t>
      </w:r>
      <w:r>
        <w:rPr>
          <w:b/>
          <w:bCs/>
          <w:sz w:val="20"/>
          <w:szCs w:val="20"/>
        </w:rPr>
        <w:t xml:space="preserve">0 of 108</w:t>
      </w:r>
      <w:r>
        <w:rPr>
          <w:sz w:val="20"/>
          <w:szCs w:val="20"/>
        </w:rPr>
        <w:t xml:space="preserve"> census-clean YouTrack issues request any AI capability (HubSpot corroborates), while reporting + fundamentals account for 47.2% of demand. AI earns its seat on efficiency and differentiation grounds, not a demand pull that does not exist. AI surfaces as a procurement gate (~53 enterprise AI-governance questions, directionally likely but unverified), not a feature ask.</w:t>
      </w:r>
    </w:p>
    <w:p>
      <w:pPr>
        <w:spacing w:after="120"/>
      </w:pPr>
      <w:r>
        <w:rPr>
          <w:sz w:val="20"/>
          <w:szCs w:val="20"/>
        </w:rPr>
        <w:t xml:space="preserve">The locked posture (BTDR-0004 G1) is layered, not binary: a </w:t>
      </w:r>
      <w:r>
        <w:rPr>
          <w:b/>
          <w:bCs/>
          <w:sz w:val="20"/>
          <w:szCs w:val="20"/>
        </w:rPr>
        <w:t xml:space="preserve">Floor</w:t>
      </w:r>
      <w:r>
        <w:rPr>
          <w:sz w:val="20"/>
          <w:szCs w:val="20"/>
        </w:rPr>
        <w:t xml:space="preserve"> tier (reporting-AI, conditional on a time-boxed PoC), a </w:t>
      </w:r>
      <w:r>
        <w:rPr>
          <w:b/>
          <w:bCs/>
          <w:sz w:val="20"/>
          <w:szCs w:val="20"/>
        </w:rPr>
        <w:t xml:space="preserve">Satisfy</w:t>
      </w:r>
      <w:r>
        <w:rPr>
          <w:sz w:val="20"/>
          <w:szCs w:val="20"/>
        </w:rPr>
        <w:t xml:space="preserve"> tier (Deven Connect + BYOM answering the prospect "integrations + AI" ask), and a </w:t>
      </w:r>
      <w:r>
        <w:rPr>
          <w:b/>
          <w:bCs/>
          <w:sz w:val="20"/>
          <w:szCs w:val="20"/>
        </w:rPr>
        <w:t xml:space="preserve">Win</w:t>
      </w:r>
      <w:r>
        <w:rPr>
          <w:sz w:val="20"/>
          <w:szCs w:val="20"/>
        </w:rPr>
        <w:t xml:space="preserve"> tier (integration/PMI seam-AI — DevenMCP — scoped beyond the initial window in its full form; the sliver ships in-horizon). The model-governance rule is risk-tiered: hosted LLM only in the standalone LMM product; BYOM mandated at enterprise, keeping Devensoft out of the sub-processor path. The credible on-ramp is the API surface itself (the sixth-largest demand cluster — "AI's on-ramp, not AI itself"). Midaxo's cross-project/synergy alerting is a near-miss that narrows, without closing, the opening. Flags: AI ROI unvalidated; residual vendor-landscape gaps.</w:t>
      </w:r>
    </w:p>
    <w:p>
      <w:pPr>
        <w:spacing w:after="120"/>
      </w:pPr>
      <w:r>
        <w:rPr>
          <w:sz w:val="20"/>
          <w:szCs w:val="20"/>
        </w:rPr>
        <w:t xml:space="preserve">The journey that AI — and everything else — must serve is the M&amp;A lifecycle itself: the next summary.</w:t>
      </w:r>
    </w:p>
    <w:p>
      <w:pPr>
        <w:pStyle w:val="Heading1"/>
        <w:spacing w:after="80" w:before="240"/>
      </w:pPr>
      <w:r>
        <w:rPr>
          <w:b/>
          <w:bCs/>
          <w:sz w:val="26"/>
          <w:szCs w:val="26"/>
        </w:rPr>
        <w:t xml:space="preserve">M09 — M&amp;A Journey [R·D] — deep-dive summary</w:t>
      </w:r>
    </w:p>
    <w:p>
      <w:pPr>
        <w:spacing w:after="100"/>
      </w:pPr>
      <w:r>
        <w:rPr>
          <w:i/>
          <w:iCs/>
          <w:color w:val="666666"/>
          <w:sz w:val="16"/>
          <w:szCs w:val="16"/>
        </w:rPr>
        <w:t xml:space="preserve">BLUF-20 rendering · sequence position 12 of 14 (deep-dive compressed). Full depth: the comprehensive rendering.</w:t>
      </w:r>
    </w:p>
    <w:p>
      <w:pPr>
        <w:spacing w:after="120"/>
      </w:pPr>
      <w:r>
        <w:rPr>
          <w:sz w:val="20"/>
          <w:szCs w:val="20"/>
        </w:rPr>
        <w:t xml:space="preserve">The journey AI must serve: Devensoft owns the full enterprise lifecycle — stages 1 through 9 — but coverage is not uniform and friction is not evenly distributed. The center of gravity is the back half (Integration Planning, Integration Execution, Post-Close Value Realization — the PMI/Synergy/Legal depth no rival matches); Due Diligence (stage 3) is the clearest lifecycle-specific friction cluster in the demand signal; sourcing stages 1–2 are real and used standalone; the middle stages 4–6 are thin in the demand record — and that silence is itself a finding. Reporting is not a stage capability but the plan-wide cross-cutting underlay. A parallel, genuinely different LMM lifecycle exists (five stages, portfolio-centric terminal point), but its friction is demand-unvalidated and stays a skeleton.</w:t>
      </w:r>
    </w:p>
    <w:p>
      <w:pPr>
        <w:spacing w:after="120"/>
      </w:pPr>
      <w:r>
        <w:rPr>
          <w:sz w:val="20"/>
          <w:szCs w:val="20"/>
        </w:rPr>
        <w:t xml:space="preserve">The stage→product mapping: </w:t>
      </w:r>
      <w:r>
        <w:rPr>
          <w:b/>
          <w:bCs/>
          <w:sz w:val="20"/>
          <w:szCs w:val="20"/>
        </w:rPr>
        <w:t xml:space="preserve">DevenLite = Targets+Tasking, front-scoped</w:t>
      </w:r>
      <w:r>
        <w:rPr>
          <w:sz w:val="20"/>
          <w:szCs w:val="20"/>
        </w:rPr>
        <w:t xml:space="preserve"> (stages 1–2 + deal-execution capture; PMI 6–9 out of scope by design per the AGREED fit-to-need matrix) — a Tier-1-live vehicle option under the LMM Vehicle Choice; </w:t>
      </w:r>
      <w:r>
        <w:rPr>
          <w:b/>
          <w:bCs/>
          <w:sz w:val="20"/>
          <w:szCs w:val="20"/>
        </w:rPr>
        <w:t xml:space="preserve">DevenDiligence = stage 3</w:t>
      </w:r>
      <w:r>
        <w:rPr>
          <w:sz w:val="20"/>
          <w:szCs w:val="20"/>
        </w:rPr>
        <w:t xml:space="preserve">, the other Tier-1-live option; </w:t>
      </w:r>
      <w:r>
        <w:rPr>
          <w:b/>
          <w:bCs/>
          <w:sz w:val="20"/>
          <w:szCs w:val="20"/>
        </w:rPr>
        <w:t xml:space="preserve">DevenFiles</w:t>
      </w:r>
      <w:r>
        <w:rPr>
          <w:sz w:val="20"/>
          <w:szCs w:val="20"/>
        </w:rPr>
        <w:t xml:space="preserve"> = the self-serve VDR follow-on on the DevenLite branch; stages 4–6 are enterprise-complexity, not carved out; Devenfy (candidate) fills the gap pending the demand-signal instrument. Divestiture resolves as a cross-cutting deal-type variant reusing stages 7–8 in reverse (a BTDR candidate to-file on sync). Flags: Diversify product breadth beyond the choice; LMM friction deferred.</w:t>
      </w:r>
    </w:p>
    <w:p>
      <w:pPr>
        <w:spacing w:after="120"/>
      </w:pPr>
      <w:r>
        <w:rPr>
          <w:sz w:val="20"/>
          <w:szCs w:val="20"/>
        </w:rPr>
        <w:t xml:space="preserve">What unlocks that journey — the enablers, the dependency truth, and the roadmap that sequences it all — is the next summary.</w:t>
      </w:r>
    </w:p>
    <w:p>
      <w:pPr>
        <w:pStyle w:val="Heading1"/>
        <w:spacing w:after="80" w:before="240"/>
      </w:pPr>
      <w:r>
        <w:rPr>
          <w:b/>
          <w:bCs/>
          <w:sz w:val="26"/>
          <w:szCs w:val="26"/>
        </w:rPr>
        <w:t xml:space="preserve">M10 — Enablers + Roadmap [R·G·D] — deep-dive summary</w:t>
      </w:r>
    </w:p>
    <w:p>
      <w:pPr>
        <w:spacing w:after="100"/>
      </w:pPr>
      <w:r>
        <w:rPr>
          <w:i/>
          <w:iCs/>
          <w:color w:val="666666"/>
          <w:sz w:val="16"/>
          <w:szCs w:val="16"/>
        </w:rPr>
        <w:t xml:space="preserve">BLUF-20 rendering · sequence position 13 of 14 (deep-dive compressed). Full depth: the comprehensive rendering.</w:t>
      </w:r>
    </w:p>
    <w:p>
      <w:pPr>
        <w:spacing w:after="120"/>
      </w:pPr>
      <w:r>
        <w:rPr>
          <w:sz w:val="20"/>
          <w:szCs w:val="20"/>
        </w:rPr>
        <w:t xml:space="preserve">The enablers to execute it: yes, the plan is executable inside ~9 months — but only along a single critical path whose geometry the team does not choose. The dependency DAG runs </w:t>
      </w:r>
      <w:r>
        <w:rPr>
          <w:b/>
          <w:bCs/>
          <w:sz w:val="20"/>
          <w:szCs w:val="20"/>
        </w:rPr>
        <w:t xml:space="preserve">F6 → F1 → T2 → T3 → T7</w:t>
      </w:r>
      <w:r>
        <w:rPr>
          <w:sz w:val="20"/>
          <w:szCs w:val="20"/>
        </w:rPr>
        <w:t xml:space="preserve"> (DI/runtime bridge → auth migration → DevenConnect → extraction/Diversify → GTM); F6 + F1 alone consume 14–21+ serial dev-weeks, roughly 4–7 of the nine months. Seven execution tracks carry the work (T1 fundamentals, T2 DevenConnect, T3 extraction→Diversify, T4 AI posture, T5 instrumentation, T6 fake-door, T7 GTM). Every dependency edge traces to an effort-calibrated structural prerequisite — the fundamentals clusters sized bottom-up from completed analog epics with a 1.5× overrun calibration.</w:t>
      </w:r>
    </w:p>
    <w:p>
      <w:pPr>
        <w:spacing w:after="120"/>
      </w:pPr>
      <w:r>
        <w:rPr>
          <w:sz w:val="20"/>
          <w:szCs w:val="20"/>
        </w:rPr>
        <w:t xml:space="preserve">Three phase gates (Stabilize &amp; Validate → Modernize &amp; Connect → Diversify &amp; Scale) map to a 3-stage capacity ramp (Ramp-in ~2.0 FTE mo 1–2 → Build ~3.5 FTE mo 3–6 → Accelerate ~4.5 FTE mo 7–9), resolving to the </w:t>
      </w:r>
      <w:r>
        <w:rPr>
          <w:b/>
          <w:bCs/>
          <w:sz w:val="20"/>
          <w:szCs w:val="20"/>
        </w:rPr>
        <w:t xml:space="preserve">105.3 dev-wk envelope</w:t>
      </w:r>
      <w:r>
        <w:rPr>
          <w:sz w:val="20"/>
          <w:szCs w:val="20"/>
        </w:rPr>
        <w:t xml:space="preserve"> (~43.8 floor / ~61.5 headroom) modeled live in the recommendation matrix. The 3-layer enabler stack runs organizational (staffing ramp + 90/10 firewall enforcement + ADKAR-as-lens), tooling/process (Azure completion, CRM hygiene, test scaffolding), and technical (the DAG itself). F1 = auth-provider migration is resolved buy-not-build (BTDR-0008). </w:t>
      </w:r>
      <w:r>
        <w:rPr>
          <w:b/>
          <w:bCs/>
          <w:sz w:val="20"/>
          <w:szCs w:val="20"/>
        </w:rPr>
        <w:t xml:space="preserve">Beyond the Horizon</w:t>
      </w:r>
      <w:r>
        <w:rPr>
          <w:sz w:val="20"/>
          <w:szCs w:val="20"/>
        </w:rPr>
        <w:t xml:space="preserve"> holds 9 deliberately-deferred items — including the DevenMCP full runtime core and DevenLite, which re-enters the plan only if chosen in the LMM Vehicle Choice. Flags: F1 re-sizing and T2 sizing are live dispatch items that tighten the gate calendar.</w:t>
      </w:r>
    </w:p>
    <w:p>
      <w:pPr>
        <w:spacing w:after="120"/>
      </w:pPr>
      <w:r>
        <w:rPr>
          <w:sz w:val="20"/>
          <w:szCs w:val="20"/>
        </w:rPr>
        <w:t xml:space="preserve">The commercial model that funds this roadmap — where the return sits and how the market is reached — is the final summary.</w:t>
      </w:r>
    </w:p>
    <w:p>
      <w:pPr>
        <w:pStyle w:val="Heading1"/>
        <w:spacing w:after="80" w:before="240"/>
      </w:pPr>
      <w:r>
        <w:rPr>
          <w:b/>
          <w:bCs/>
          <w:sz w:val="26"/>
          <w:szCs w:val="26"/>
        </w:rPr>
        <w:t xml:space="preserve">M11 — Commercial Model &amp; GTM [R·G·D] — deep-dive summary</w:t>
      </w:r>
    </w:p>
    <w:p>
      <w:pPr>
        <w:spacing w:after="100"/>
      </w:pPr>
      <w:r>
        <w:rPr>
          <w:i/>
          <w:iCs/>
          <w:color w:val="666666"/>
          <w:sz w:val="16"/>
          <w:szCs w:val="16"/>
        </w:rPr>
        <w:t xml:space="preserve">BLUF-20 rendering · sequence position 14 of 14 (deep-dive compressed). Full depth: the comprehensive rendering.</w:t>
      </w:r>
    </w:p>
    <w:p>
      <w:pPr>
        <w:spacing w:after="120"/>
      </w:pPr>
      <w:r>
        <w:rPr>
          <w:sz w:val="20"/>
          <w:szCs w:val="20"/>
        </w:rPr>
        <w:t xml:space="preserve">The commercial model that funds it: three revenue engines, not one. </w:t>
      </w:r>
      <w:r>
        <w:rPr>
          <w:b/>
          <w:bCs/>
          <w:sz w:val="20"/>
          <w:szCs w:val="20"/>
        </w:rPr>
        <w:t xml:space="preserve">Enterprise ARR</w:t>
      </w:r>
      <w:r>
        <w:rPr>
          <w:sz w:val="20"/>
          <w:szCs w:val="20"/>
        </w:rPr>
        <w:t xml:space="preserve"> on Devensoft v24 — the seat-license floor that funds everything, augmented by a premium "Managed Success" tier that unbundles the 20+ onboarding sessions the installed base actually consumes. </w:t>
      </w:r>
      <w:r>
        <w:rPr>
          <w:b/>
          <w:bCs/>
          <w:sz w:val="20"/>
          <w:szCs w:val="20"/>
        </w:rPr>
        <w:t xml:space="preserve">Deven Connect</w:t>
      </w:r>
      <w:r>
        <w:rPr>
          <w:sz w:val="20"/>
          <w:szCs w:val="20"/>
        </w:rPr>
        <w:t xml:space="preserve"> — the margin play under tiered pricing (BTDR-0009): free for current customers (a fair-use Retain anti-churn value-add), consumption-based monthly for new enterprise and for Diversify where economics warrant; the vault-draft $75k MSRP was theoretical/market-rejected/$0 realized and is superseded (rates TBD). </w:t>
      </w:r>
      <w:r>
        <w:rPr>
          <w:b/>
          <w:bCs/>
          <w:sz w:val="20"/>
          <w:szCs w:val="20"/>
        </w:rPr>
        <w:t xml:space="preserve">Diversify products</w:t>
      </w:r>
      <w:r>
        <w:rPr>
          <w:sz w:val="20"/>
          <w:szCs w:val="20"/>
        </w:rPr>
        <w:t xml:space="preserve"> — the upside bet: a family of segment-aligned frontends over Deven Connect (DevenLite, DevenDiligence; Devenfy candidate; DevenFiles follow-on), migrating upward through the ladder whose top rung is Devensoft v24.</w:t>
      </w:r>
    </w:p>
    <w:p>
      <w:pPr>
        <w:spacing w:after="120"/>
      </w:pPr>
      <w:r>
        <w:rPr>
          <w:sz w:val="20"/>
          <w:szCs w:val="20"/>
        </w:rPr>
        <w:t xml:space="preserve">The product line splits by design: enterprise seat-license + premium tier vs Diversify free-trial-to-flat-tier PLG; AI monetization is asymmetric (enterprise BYOM = zero inference cost / Diversify hosted = baked in with a fair-use cap). The GTM motion splits with it: enterprise stays relationship/demo-led with a champion-seed + content/SEO layer and a formalized advisor channel; Diversify runs fake-door-gated, community-led PLG through search-fund and PE-association channels, with the demand-signal work starting week 1 in parallel. Zapier (Phase 1) becomes the API's self-serve distribution surface. DealRoom's per-deal/unlimited-user pricing is the structural pressure the split answers. Real pricing now exists (list $135/$165 + $5k–$20k onboarding + realized ACVs); flags: discount-adjusted realization, mid-market unit economics (CAC/LTV), campaign cost.</w:t>
      </w:r>
    </w:p>
    <w:p>
      <w:pPr>
        <w:spacing w:after="120"/>
      </w:pPr>
      <w:r>
        <w:rPr>
          <w:sz w:val="20"/>
          <w:szCs w:val="20"/>
        </w:rPr>
        <w:t xml:space="preserve">That completes the case. The one thing left is the decision: the ask — 5.5 FTE, two firewalls, ~9 months, the LMM Vehicle Choice surfaced — closes back to §01.</w:t>
      </w:r>
    </w:p>
    <w:p>
      <w:pPr>
        <w:pStyle w:val="Heading1"/>
        <w:spacing w:after="80" w:before="240"/>
      </w:pPr>
      <w:r>
        <w:rPr>
          <w:b/>
          <w:bCs/>
          <w:sz w:val="26"/>
          <w:szCs w:val="26"/>
        </w:rPr>
        <w:t xml:space="preserve">Appendix A — Decisions Register</w:t>
      </w:r>
    </w:p>
    <w:p>
      <w:pPr>
        <w:spacing w:after="100"/>
      </w:pPr>
      <w:r>
        <w:rPr>
          <w:i/>
          <w:iCs/>
          <w:color w:val="666666"/>
          <w:sz w:val="16"/>
          <w:szCs w:val="16"/>
        </w:rPr>
        <w:t xml:space="preserve">BLUF-20 rendering · appendix (sequence position 15). One line per Decide directive; the prose delivers each, this register indexes them.</w:t>
      </w:r>
    </w:p>
    <w:tbl>
      <w:tblPr>
        <w:tblW w:type="dxa" w:w="10224"/>
        <w:tblBorders>
          <w:top w:val="single" w:color="auto" w:sz="4"/>
          <w:left w:val="single" w:color="auto" w:sz="4"/>
          <w:bottom w:val="single" w:color="auto" w:sz="4"/>
          <w:right w:val="single" w:color="auto" w:sz="4"/>
          <w:insideH w:val="single" w:color="auto" w:sz="4"/>
          <w:insideV w:val="single" w:color="auto" w:sz="4"/>
        </w:tblBorders>
      </w:tblPr>
      <w:tblGrid>
        <w:gridCol w:w="900"/>
        <w:gridCol w:w="6324"/>
        <w:gridCol w:w="3000"/>
      </w:tblGrid>
      <w:tr>
        <w:trPr>
          <w:tblHeader/>
        </w:trPr>
        <w:tc>
          <w:tcPr>
            <w:tcW w:type="dxa" w:w="900"/>
            <w:shd w:fill="EEF2F6" w:val="clear"/>
            <w:tcMar>
              <w:top w:type="dxa" w:w="40"/>
              <w:left w:type="dxa" w:w="80"/>
              <w:bottom w:type="dxa" w:w="40"/>
              <w:right w:type="dxa" w:w="80"/>
            </w:tcMar>
          </w:tcPr>
          <w:p>
            <w:pPr>
              <w:spacing w:after="0"/>
            </w:pPr>
            <w:r>
              <w:rPr>
                <w:b/>
                <w:bCs/>
                <w:sz w:val="18"/>
                <w:szCs w:val="18"/>
              </w:rPr>
              <w:t xml:space="preserve">M#</w:t>
            </w:r>
          </w:p>
        </w:tc>
        <w:tc>
          <w:tcPr>
            <w:tcW w:type="dxa" w:w="6324"/>
            <w:shd w:fill="EEF2F6" w:val="clear"/>
            <w:tcMar>
              <w:top w:type="dxa" w:w="40"/>
              <w:left w:type="dxa" w:w="80"/>
              <w:bottom w:type="dxa" w:w="40"/>
              <w:right w:type="dxa" w:w="80"/>
            </w:tcMar>
          </w:tcPr>
          <w:p>
            <w:pPr>
              <w:spacing w:after="0"/>
            </w:pPr>
            <w:r>
              <w:rPr>
                <w:b/>
                <w:bCs/>
                <w:sz w:val="18"/>
                <w:szCs w:val="18"/>
              </w:rPr>
              <w:t xml:space="preserve">Decision</w:t>
            </w:r>
          </w:p>
        </w:tc>
        <w:tc>
          <w:tcPr>
            <w:tcW w:type="dxa" w:w="3000"/>
            <w:shd w:fill="EEF2F6" w:val="clear"/>
            <w:tcMar>
              <w:top w:type="dxa" w:w="40"/>
              <w:left w:type="dxa" w:w="80"/>
              <w:bottom w:type="dxa" w:w="40"/>
              <w:right w:type="dxa" w:w="80"/>
            </w:tcMar>
          </w:tcPr>
          <w:p>
            <w:pPr>
              <w:spacing w:after="0"/>
            </w:pPr>
            <w:r>
              <w:rPr>
                <w:b/>
                <w:bCs/>
                <w:sz w:val="18"/>
                <w:szCs w:val="18"/>
              </w:rPr>
              <w:t xml:space="preserve">Record</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M01</w:t>
            </w:r>
          </w:p>
        </w:tc>
        <w:tc>
          <w:tcPr>
            <w:tcW w:type="dxa" w:w="6324"/>
            <w:tcMar>
              <w:top w:type="dxa" w:w="40"/>
              <w:left w:type="dxa" w:w="80"/>
              <w:bottom w:type="dxa" w:w="40"/>
              <w:right w:type="dxa" w:w="80"/>
            </w:tcMar>
          </w:tcPr>
          <w:p>
            <w:pPr>
              <w:spacing w:after="0"/>
            </w:pPr>
            <w:r>
              <w:rPr>
                <w:b w:val="false"/>
                <w:bCs w:val="false"/>
                <w:sz w:val="18"/>
                <w:szCs w:val="18"/>
              </w:rPr>
              <w:t xml:space="preserve">The ask — resources 5.5 FTE, mandate two firewalls, timing ~9-mo reference</w:t>
            </w:r>
          </w:p>
        </w:tc>
        <w:tc>
          <w:tcPr>
            <w:tcW w:type="dxa" w:w="3000"/>
            <w:tcMar>
              <w:top w:type="dxa" w:w="40"/>
              <w:left w:type="dxa" w:w="80"/>
              <w:bottom w:type="dxa" w:w="40"/>
              <w:right w:type="dxa" w:w="80"/>
            </w:tcMar>
          </w:tcPr>
          <w:p>
            <w:pPr>
              <w:spacing w:after="0"/>
            </w:pPr>
            <w:r>
              <w:rPr>
                <w:b w:val="false"/>
                <w:bCs w:val="false"/>
                <w:sz w:val="18"/>
                <w:szCs w:val="18"/>
              </w:rPr>
              <w:t xml:space="preserve">BTDR-0011 (+Am.1/Am.2)</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M02</w:t>
            </w:r>
          </w:p>
        </w:tc>
        <w:tc>
          <w:tcPr>
            <w:tcW w:type="dxa" w:w="6324"/>
            <w:tcMar>
              <w:top w:type="dxa" w:w="40"/>
              <w:left w:type="dxa" w:w="80"/>
              <w:bottom w:type="dxa" w:w="40"/>
              <w:right w:type="dxa" w:w="80"/>
            </w:tcMar>
          </w:tcPr>
          <w:p>
            <w:pPr>
              <w:spacing w:after="0"/>
            </w:pPr>
            <w:r>
              <w:rPr>
                <w:b w:val="false"/>
                <w:bCs w:val="false"/>
                <w:sz w:val="18"/>
                <w:szCs w:val="18"/>
              </w:rPr>
              <w:t xml:space="preserve">Timing / mandate — resolved by synthesis (no new decision)</w:t>
            </w:r>
          </w:p>
        </w:tc>
        <w:tc>
          <w:tcPr>
            <w:tcW w:type="dxa" w:w="3000"/>
            <w:tcMar>
              <w:top w:type="dxa" w:w="40"/>
              <w:left w:type="dxa" w:w="80"/>
              <w:bottom w:type="dxa" w:w="40"/>
              <w:right w:type="dxa" w:w="80"/>
            </w:tcMar>
          </w:tcPr>
          <w:p>
            <w:pPr>
              <w:spacing w:after="0"/>
            </w:pPr>
            <w:r>
              <w:rPr>
                <w:b w:val="false"/>
                <w:bCs w:val="false"/>
                <w:sz w:val="18"/>
                <w:szCs w:val="18"/>
              </w:rPr>
              <w:t xml:space="preserve">BTDR-0004 G4; M12</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M03</w:t>
            </w:r>
          </w:p>
        </w:tc>
        <w:tc>
          <w:tcPr>
            <w:tcW w:type="dxa" w:w="6324"/>
            <w:tcMar>
              <w:top w:type="dxa" w:w="40"/>
              <w:left w:type="dxa" w:w="80"/>
              <w:bottom w:type="dxa" w:w="40"/>
              <w:right w:type="dxa" w:w="80"/>
            </w:tcMar>
          </w:tcPr>
          <w:p>
            <w:pPr>
              <w:spacing w:after="0"/>
            </w:pPr>
            <w:r>
              <w:rPr>
                <w:b w:val="false"/>
                <w:bCs w:val="false"/>
                <w:sz w:val="18"/>
                <w:szCs w:val="18"/>
              </w:rPr>
              <w:t xml:space="preserve">Where to differentiate — integration/PMI seam, not diligence commodity</w:t>
            </w:r>
          </w:p>
        </w:tc>
        <w:tc>
          <w:tcPr>
            <w:tcW w:type="dxa" w:w="3000"/>
            <w:tcMar>
              <w:top w:type="dxa" w:w="40"/>
              <w:left w:type="dxa" w:w="80"/>
              <w:bottom w:type="dxa" w:w="40"/>
              <w:right w:type="dxa" w:w="80"/>
            </w:tcMar>
          </w:tcPr>
          <w:p>
            <w:pPr>
              <w:spacing w:after="0"/>
            </w:pPr>
            <w:r>
              <w:rPr>
                <w:b w:val="false"/>
                <w:bCs w:val="false"/>
                <w:sz w:val="18"/>
                <w:szCs w:val="18"/>
              </w:rPr>
              <w:t xml:space="preserve">BTDR-0004 G1</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M04</w:t>
            </w:r>
          </w:p>
        </w:tc>
        <w:tc>
          <w:tcPr>
            <w:tcW w:type="dxa" w:w="6324"/>
            <w:tcMar>
              <w:top w:type="dxa" w:w="40"/>
              <w:left w:type="dxa" w:w="80"/>
              <w:bottom w:type="dxa" w:w="40"/>
              <w:right w:type="dxa" w:w="80"/>
            </w:tcMar>
          </w:tcPr>
          <w:p>
            <w:pPr>
              <w:spacing w:after="0"/>
            </w:pPr>
            <w:r>
              <w:rPr>
                <w:b w:val="false"/>
                <w:bCs w:val="false"/>
                <w:sz w:val="18"/>
                <w:szCs w:val="18"/>
              </w:rPr>
              <w:t xml:space="preserve">Enterprise-defend vs mid-market-attack — Hedge, sequenced</w:t>
            </w:r>
          </w:p>
        </w:tc>
        <w:tc>
          <w:tcPr>
            <w:tcW w:type="dxa" w:w="3000"/>
            <w:tcMar>
              <w:top w:type="dxa" w:w="40"/>
              <w:left w:type="dxa" w:w="80"/>
              <w:bottom w:type="dxa" w:w="40"/>
              <w:right w:type="dxa" w:w="80"/>
            </w:tcMar>
          </w:tcPr>
          <w:p>
            <w:pPr>
              <w:spacing w:after="0"/>
            </w:pPr>
            <w:r>
              <w:rPr>
                <w:b w:val="false"/>
                <w:bCs w:val="false"/>
                <w:sz w:val="18"/>
                <w:szCs w:val="18"/>
              </w:rPr>
              <w:t xml:space="preserve">BTDR-0004</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M07</w:t>
            </w:r>
          </w:p>
        </w:tc>
        <w:tc>
          <w:tcPr>
            <w:tcW w:type="dxa" w:w="6324"/>
            <w:tcMar>
              <w:top w:type="dxa" w:w="40"/>
              <w:left w:type="dxa" w:w="80"/>
              <w:bottom w:type="dxa" w:w="40"/>
              <w:right w:type="dxa" w:w="80"/>
            </w:tcMar>
          </w:tcPr>
          <w:p>
            <w:pPr>
              <w:spacing w:after="0"/>
            </w:pPr>
            <w:r>
              <w:rPr>
                <w:b w:val="false"/>
                <w:bCs w:val="false"/>
                <w:sz w:val="18"/>
                <w:szCs w:val="18"/>
              </w:rPr>
              <w:t xml:space="preserve">AI priority rank vs fundamentals — layered Floor/Satisfy/Win; fundamentals first</w:t>
            </w:r>
          </w:p>
        </w:tc>
        <w:tc>
          <w:tcPr>
            <w:tcW w:type="dxa" w:w="3000"/>
            <w:tcMar>
              <w:top w:type="dxa" w:w="40"/>
              <w:left w:type="dxa" w:w="80"/>
              <w:bottom w:type="dxa" w:w="40"/>
              <w:right w:type="dxa" w:w="80"/>
            </w:tcMar>
          </w:tcPr>
          <w:p>
            <w:pPr>
              <w:spacing w:after="0"/>
            </w:pPr>
            <w:r>
              <w:rPr>
                <w:b w:val="false"/>
                <w:bCs w:val="false"/>
                <w:sz w:val="18"/>
                <w:szCs w:val="18"/>
              </w:rPr>
              <w:t xml:space="preserve">BTDR-0004 G1</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M07</w:t>
            </w:r>
          </w:p>
        </w:tc>
        <w:tc>
          <w:tcPr>
            <w:tcW w:type="dxa" w:w="6324"/>
            <w:tcMar>
              <w:top w:type="dxa" w:w="40"/>
              <w:left w:type="dxa" w:w="80"/>
              <w:bottom w:type="dxa" w:w="40"/>
              <w:right w:type="dxa" w:w="80"/>
            </w:tcMar>
          </w:tcPr>
          <w:p>
            <w:pPr>
              <w:spacing w:after="0"/>
            </w:pPr>
            <w:r>
              <w:rPr>
                <w:b w:val="false"/>
                <w:bCs w:val="false"/>
                <w:sz w:val="18"/>
                <w:szCs w:val="18"/>
              </w:rPr>
              <w:t xml:space="preserve">AI build-vs-buy — risk-tiered model governance (BYOM enterprise / hosted LMM-only)</w:t>
            </w:r>
          </w:p>
        </w:tc>
        <w:tc>
          <w:tcPr>
            <w:tcW w:type="dxa" w:w="3000"/>
            <w:tcMar>
              <w:top w:type="dxa" w:w="40"/>
              <w:left w:type="dxa" w:w="80"/>
              <w:bottom w:type="dxa" w:w="40"/>
              <w:right w:type="dxa" w:w="80"/>
            </w:tcMar>
          </w:tcPr>
          <w:p>
            <w:pPr>
              <w:spacing w:after="0"/>
            </w:pPr>
            <w:r>
              <w:rPr>
                <w:b w:val="false"/>
                <w:bCs w:val="false"/>
                <w:sz w:val="18"/>
                <w:szCs w:val="18"/>
              </w:rPr>
              <w:t xml:space="preserve">BTDR-0004 G1</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M08</w:t>
            </w:r>
          </w:p>
        </w:tc>
        <w:tc>
          <w:tcPr>
            <w:tcW w:type="dxa" w:w="6324"/>
            <w:tcMar>
              <w:top w:type="dxa" w:w="40"/>
              <w:left w:type="dxa" w:w="80"/>
              <w:bottom w:type="dxa" w:w="40"/>
              <w:right w:type="dxa" w:w="80"/>
            </w:tcMar>
          </w:tcPr>
          <w:p>
            <w:pPr>
              <w:spacing w:after="0"/>
            </w:pPr>
            <w:r>
              <w:rPr>
                <w:b w:val="false"/>
                <w:bCs w:val="false"/>
                <w:sz w:val="18"/>
                <w:szCs w:val="18"/>
              </w:rPr>
              <w:t xml:space="preserve">Outsource/non-build tier — Buy (SSRS, Auth) / Don't build / Customer-supplies</w:t>
            </w:r>
          </w:p>
        </w:tc>
        <w:tc>
          <w:tcPr>
            <w:tcW w:type="dxa" w:w="3000"/>
            <w:tcMar>
              <w:top w:type="dxa" w:w="40"/>
              <w:left w:type="dxa" w:w="80"/>
              <w:bottom w:type="dxa" w:w="40"/>
              <w:right w:type="dxa" w:w="80"/>
            </w:tcMar>
          </w:tcPr>
          <w:p>
            <w:pPr>
              <w:spacing w:after="0"/>
            </w:pPr>
            <w:r>
              <w:rPr>
                <w:b w:val="false"/>
                <w:bCs w:val="false"/>
                <w:sz w:val="18"/>
                <w:szCs w:val="18"/>
              </w:rPr>
              <w:t xml:space="preserve">BTDR-0004; BTDR-0008</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M08</w:t>
            </w:r>
          </w:p>
        </w:tc>
        <w:tc>
          <w:tcPr>
            <w:tcW w:type="dxa" w:w="6324"/>
            <w:tcMar>
              <w:top w:type="dxa" w:w="40"/>
              <w:left w:type="dxa" w:w="80"/>
              <w:bottom w:type="dxa" w:w="40"/>
              <w:right w:type="dxa" w:w="80"/>
            </w:tcMar>
          </w:tcPr>
          <w:p>
            <w:pPr>
              <w:spacing w:after="0"/>
            </w:pPr>
            <w:r>
              <w:rPr>
                <w:b w:val="false"/>
                <w:bCs w:val="false"/>
                <w:sz w:val="18"/>
                <w:szCs w:val="18"/>
              </w:rPr>
              <w:t xml:space="preserve">Core-IP candidate ranking — fund/throttle/defer across seam-AI, DevenMCP, Sec&amp;Compliance</w:t>
            </w:r>
          </w:p>
        </w:tc>
        <w:tc>
          <w:tcPr>
            <w:tcW w:type="dxa" w:w="3000"/>
            <w:tcMar>
              <w:top w:type="dxa" w:w="40"/>
              <w:left w:type="dxa" w:w="80"/>
              <w:bottom w:type="dxa" w:w="40"/>
              <w:right w:type="dxa" w:w="80"/>
            </w:tcMar>
          </w:tcPr>
          <w:p>
            <w:pPr>
              <w:spacing w:after="0"/>
            </w:pPr>
            <w:r>
              <w:rPr>
                <w:b w:val="false"/>
                <w:bCs w:val="false"/>
                <w:sz w:val="18"/>
                <w:szCs w:val="18"/>
              </w:rPr>
              <w:t xml:space="preserve">open leadership ask</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M10</w:t>
            </w:r>
          </w:p>
        </w:tc>
        <w:tc>
          <w:tcPr>
            <w:tcW w:type="dxa" w:w="6324"/>
            <w:tcMar>
              <w:top w:type="dxa" w:w="40"/>
              <w:left w:type="dxa" w:w="80"/>
              <w:bottom w:type="dxa" w:w="40"/>
              <w:right w:type="dxa" w:w="80"/>
            </w:tcMar>
          </w:tcPr>
          <w:p>
            <w:pPr>
              <w:spacing w:after="0"/>
            </w:pPr>
            <w:r>
              <w:rPr>
                <w:b w:val="false"/>
                <w:bCs w:val="false"/>
                <w:sz w:val="18"/>
                <w:szCs w:val="18"/>
              </w:rPr>
              <w:t xml:space="preserve">F1 auth-provider migration (Clerk/Auth0, buy-not-build) — resolved</w:t>
            </w:r>
          </w:p>
        </w:tc>
        <w:tc>
          <w:tcPr>
            <w:tcW w:type="dxa" w:w="3000"/>
            <w:tcMar>
              <w:top w:type="dxa" w:w="40"/>
              <w:left w:type="dxa" w:w="80"/>
              <w:bottom w:type="dxa" w:w="40"/>
              <w:right w:type="dxa" w:w="80"/>
            </w:tcMar>
          </w:tcPr>
          <w:p>
            <w:pPr>
              <w:spacing w:after="0"/>
            </w:pPr>
            <w:r>
              <w:rPr>
                <w:b w:val="false"/>
                <w:bCs w:val="false"/>
                <w:sz w:val="18"/>
                <w:szCs w:val="18"/>
              </w:rPr>
              <w:t xml:space="preserve">BTDR-0008</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M11</w:t>
            </w:r>
          </w:p>
        </w:tc>
        <w:tc>
          <w:tcPr>
            <w:tcW w:type="dxa" w:w="6324"/>
            <w:tcMar>
              <w:top w:type="dxa" w:w="40"/>
              <w:left w:type="dxa" w:w="80"/>
              <w:bottom w:type="dxa" w:w="40"/>
              <w:right w:type="dxa" w:w="80"/>
            </w:tcMar>
          </w:tcPr>
          <w:p>
            <w:pPr>
              <w:spacing w:after="0"/>
            </w:pPr>
            <w:r>
              <w:rPr>
                <w:b w:val="false"/>
                <w:bCs w:val="false"/>
                <w:sz w:val="18"/>
                <w:szCs w:val="18"/>
              </w:rPr>
              <w:t xml:space="preserve">Split product-line pricing/packaging — enterprise seat-license vs Diversify PLG</w:t>
            </w:r>
          </w:p>
        </w:tc>
        <w:tc>
          <w:tcPr>
            <w:tcW w:type="dxa" w:w="3000"/>
            <w:tcMar>
              <w:top w:type="dxa" w:w="40"/>
              <w:left w:type="dxa" w:w="80"/>
              <w:bottom w:type="dxa" w:w="40"/>
              <w:right w:type="dxa" w:w="80"/>
            </w:tcMar>
          </w:tcPr>
          <w:p>
            <w:pPr>
              <w:spacing w:after="0"/>
            </w:pPr>
            <w:r>
              <w:rPr>
                <w:b w:val="false"/>
                <w:bCs w:val="false"/>
                <w:sz w:val="18"/>
                <w:szCs w:val="18"/>
              </w:rPr>
              <w:t xml:space="preserve">BTDR-0007</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M11</w:t>
            </w:r>
          </w:p>
        </w:tc>
        <w:tc>
          <w:tcPr>
            <w:tcW w:type="dxa" w:w="6324"/>
            <w:tcMar>
              <w:top w:type="dxa" w:w="40"/>
              <w:left w:type="dxa" w:w="80"/>
              <w:bottom w:type="dxa" w:w="40"/>
              <w:right w:type="dxa" w:w="80"/>
            </w:tcMar>
          </w:tcPr>
          <w:p>
            <w:pPr>
              <w:spacing w:after="0"/>
            </w:pPr>
            <w:r>
              <w:rPr>
                <w:b w:val="false"/>
                <w:bCs w:val="false"/>
                <w:sz w:val="18"/>
                <w:szCs w:val="18"/>
              </w:rPr>
              <w:t xml:space="preserve">GTM motion + fake-door campaign design</w:t>
            </w:r>
          </w:p>
        </w:tc>
        <w:tc>
          <w:tcPr>
            <w:tcW w:type="dxa" w:w="3000"/>
            <w:tcMar>
              <w:top w:type="dxa" w:w="40"/>
              <w:left w:type="dxa" w:w="80"/>
              <w:bottom w:type="dxa" w:w="40"/>
              <w:right w:type="dxa" w:w="80"/>
            </w:tcMar>
          </w:tcPr>
          <w:p>
            <w:pPr>
              <w:spacing w:after="0"/>
            </w:pPr>
            <w:r>
              <w:rPr>
                <w:b w:val="false"/>
                <w:bCs w:val="false"/>
                <w:sz w:val="18"/>
                <w:szCs w:val="18"/>
              </w:rPr>
              <w:t xml:space="preserve">BTDR-0007 (+BTDR-0009)</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M12</w:t>
            </w:r>
          </w:p>
        </w:tc>
        <w:tc>
          <w:tcPr>
            <w:tcW w:type="dxa" w:w="6324"/>
            <w:tcMar>
              <w:top w:type="dxa" w:w="40"/>
              <w:left w:type="dxa" w:w="80"/>
              <w:bottom w:type="dxa" w:w="40"/>
              <w:right w:type="dxa" w:w="80"/>
            </w:tcMar>
          </w:tcPr>
          <w:p>
            <w:pPr>
              <w:spacing w:after="0"/>
            </w:pPr>
            <w:r>
              <w:rPr>
                <w:b w:val="false"/>
                <w:bCs w:val="false"/>
                <w:sz w:val="18"/>
                <w:szCs w:val="18"/>
              </w:rPr>
              <w:t xml:space="preserve">Decision 1 — the LMM Vehicle Choice + Diversify breadth beyond it</w:t>
            </w:r>
          </w:p>
        </w:tc>
        <w:tc>
          <w:tcPr>
            <w:tcW w:type="dxa" w:w="3000"/>
            <w:tcMar>
              <w:top w:type="dxa" w:w="40"/>
              <w:left w:type="dxa" w:w="80"/>
              <w:bottom w:type="dxa" w:w="40"/>
              <w:right w:type="dxa" w:w="80"/>
            </w:tcMar>
          </w:tcPr>
          <w:p>
            <w:pPr>
              <w:spacing w:after="0"/>
            </w:pPr>
            <w:r>
              <w:rPr>
                <w:b w:val="false"/>
                <w:bCs w:val="false"/>
                <w:sz w:val="18"/>
                <w:szCs w:val="18"/>
              </w:rPr>
              <w:t xml:space="preserve">BTDR-0010 Am.2; leadership-decides</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M12</w:t>
            </w:r>
          </w:p>
        </w:tc>
        <w:tc>
          <w:tcPr>
            <w:tcW w:type="dxa" w:w="6324"/>
            <w:tcMar>
              <w:top w:type="dxa" w:w="40"/>
              <w:left w:type="dxa" w:w="80"/>
              <w:bottom w:type="dxa" w:w="40"/>
              <w:right w:type="dxa" w:w="80"/>
            </w:tcMar>
          </w:tcPr>
          <w:p>
            <w:pPr>
              <w:spacing w:after="0"/>
            </w:pPr>
            <w:r>
              <w:rPr>
                <w:b w:val="false"/>
                <w:bCs w:val="false"/>
                <w:sz w:val="18"/>
                <w:szCs w:val="18"/>
              </w:rPr>
              <w:t xml:space="preserve">Decision 2 — reporting-AI must-ship or stretch (soft gate mid-horizon)</w:t>
            </w:r>
          </w:p>
        </w:tc>
        <w:tc>
          <w:tcPr>
            <w:tcW w:type="dxa" w:w="3000"/>
            <w:tcMar>
              <w:top w:type="dxa" w:w="40"/>
              <w:left w:type="dxa" w:w="80"/>
              <w:bottom w:type="dxa" w:w="40"/>
              <w:right w:type="dxa" w:w="80"/>
            </w:tcMar>
          </w:tcPr>
          <w:p>
            <w:pPr>
              <w:spacing w:after="0"/>
            </w:pPr>
            <w:r>
              <w:rPr>
                <w:b w:val="false"/>
                <w:bCs w:val="false"/>
                <w:sz w:val="18"/>
                <w:szCs w:val="18"/>
              </w:rPr>
              <w:t xml:space="preserve">open leadership call</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M12</w:t>
            </w:r>
          </w:p>
        </w:tc>
        <w:tc>
          <w:tcPr>
            <w:tcW w:type="dxa" w:w="6324"/>
            <w:tcMar>
              <w:top w:type="dxa" w:w="40"/>
              <w:left w:type="dxa" w:w="80"/>
              <w:bottom w:type="dxa" w:w="40"/>
              <w:right w:type="dxa" w:w="80"/>
            </w:tcMar>
          </w:tcPr>
          <w:p>
            <w:pPr>
              <w:spacing w:after="0"/>
            </w:pPr>
            <w:r>
              <w:rPr>
                <w:b w:val="false"/>
                <w:bCs w:val="false"/>
                <w:sz w:val="18"/>
                <w:szCs w:val="18"/>
              </w:rPr>
              <w:t xml:space="preserve">Decision 3 — capacity-vs-ambition resolution</w:t>
            </w:r>
          </w:p>
        </w:tc>
        <w:tc>
          <w:tcPr>
            <w:tcW w:type="dxa" w:w="3000"/>
            <w:tcMar>
              <w:top w:type="dxa" w:w="40"/>
              <w:left w:type="dxa" w:w="80"/>
              <w:bottom w:type="dxa" w:w="40"/>
              <w:right w:type="dxa" w:w="80"/>
            </w:tcMar>
          </w:tcPr>
          <w:p>
            <w:pPr>
              <w:spacing w:after="0"/>
            </w:pPr>
            <w:r>
              <w:rPr>
                <w:b w:val="false"/>
                <w:bCs w:val="false"/>
                <w:sz w:val="18"/>
                <w:szCs w:val="18"/>
              </w:rPr>
              <w:t xml:space="preserve">open leadership call</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M12</w:t>
            </w:r>
          </w:p>
        </w:tc>
        <w:tc>
          <w:tcPr>
            <w:tcW w:type="dxa" w:w="6324"/>
            <w:tcMar>
              <w:top w:type="dxa" w:w="40"/>
              <w:left w:type="dxa" w:w="80"/>
              <w:bottom w:type="dxa" w:w="40"/>
              <w:right w:type="dxa" w:w="80"/>
            </w:tcMar>
          </w:tcPr>
          <w:p>
            <w:pPr>
              <w:spacing w:after="0"/>
            </w:pPr>
            <w:r>
              <w:rPr>
                <w:b w:val="false"/>
                <w:bCs w:val="false"/>
                <w:sz w:val="18"/>
                <w:szCs w:val="18"/>
              </w:rPr>
              <w:t xml:space="preserve">LMM kill-conditions as go/no-go gates (owner/cadence/no-go trigger)</w:t>
            </w:r>
          </w:p>
        </w:tc>
        <w:tc>
          <w:tcPr>
            <w:tcW w:type="dxa" w:w="3000"/>
            <w:tcMar>
              <w:top w:type="dxa" w:w="40"/>
              <w:left w:type="dxa" w:w="80"/>
              <w:bottom w:type="dxa" w:w="40"/>
              <w:right w:type="dxa" w:w="80"/>
            </w:tcMar>
          </w:tcPr>
          <w:p>
            <w:pPr>
              <w:spacing w:after="0"/>
            </w:pPr>
            <w:r>
              <w:rPr>
                <w:b w:val="false"/>
                <w:bCs w:val="false"/>
                <w:sz w:val="18"/>
                <w:szCs w:val="18"/>
              </w:rPr>
              <w:t xml:space="preserve">pending BTDR</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M13</w:t>
            </w:r>
          </w:p>
        </w:tc>
        <w:tc>
          <w:tcPr>
            <w:tcW w:type="dxa" w:w="6324"/>
            <w:tcMar>
              <w:top w:type="dxa" w:w="40"/>
              <w:left w:type="dxa" w:w="80"/>
              <w:bottom w:type="dxa" w:w="40"/>
              <w:right w:type="dxa" w:w="80"/>
            </w:tcMar>
          </w:tcPr>
          <w:p>
            <w:pPr>
              <w:spacing w:after="0"/>
            </w:pPr>
            <w:r>
              <w:rPr>
                <w:b w:val="false"/>
                <w:bCs w:val="false"/>
                <w:sz w:val="18"/>
                <w:szCs w:val="18"/>
              </w:rPr>
              <w:t xml:space="preserve">Metrics categories bet-agnostic, targets deferred — resolved by split</w:t>
            </w:r>
          </w:p>
        </w:tc>
        <w:tc>
          <w:tcPr>
            <w:tcW w:type="dxa" w:w="3000"/>
            <w:tcMar>
              <w:top w:type="dxa" w:w="40"/>
              <w:left w:type="dxa" w:w="80"/>
              <w:bottom w:type="dxa" w:w="40"/>
              <w:right w:type="dxa" w:w="80"/>
            </w:tcMar>
          </w:tcPr>
          <w:p>
            <w:pPr>
              <w:spacing w:after="0"/>
            </w:pPr>
            <w:r>
              <w:rPr>
                <w:b w:val="false"/>
                <w:bCs w:val="false"/>
                <w:sz w:val="18"/>
                <w:szCs w:val="18"/>
              </w:rPr>
              <w:t xml:space="preserve">no new BTDR</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M14</w:t>
            </w:r>
          </w:p>
        </w:tc>
        <w:tc>
          <w:tcPr>
            <w:tcW w:type="dxa" w:w="6324"/>
            <w:tcMar>
              <w:top w:type="dxa" w:w="40"/>
              <w:left w:type="dxa" w:w="80"/>
              <w:bottom w:type="dxa" w:w="40"/>
              <w:right w:type="dxa" w:w="80"/>
            </w:tcMar>
          </w:tcPr>
          <w:p>
            <w:pPr>
              <w:spacing w:after="0"/>
            </w:pPr>
            <w:r>
              <w:rPr>
                <w:b w:val="false"/>
                <w:bCs w:val="false"/>
                <w:sz w:val="18"/>
                <w:szCs w:val="18"/>
              </w:rPr>
              <w:t xml:space="preserve">The recommendations — Hedge, sequenced; R1–R5 / G1–G6 / D1–D7 / NB1–NB5</w:t>
            </w:r>
          </w:p>
        </w:tc>
        <w:tc>
          <w:tcPr>
            <w:tcW w:type="dxa" w:w="3000"/>
            <w:tcMar>
              <w:top w:type="dxa" w:w="40"/>
              <w:left w:type="dxa" w:w="80"/>
              <w:bottom w:type="dxa" w:w="40"/>
              <w:right w:type="dxa" w:w="80"/>
            </w:tcMar>
          </w:tcPr>
          <w:p>
            <w:pPr>
              <w:spacing w:after="0"/>
            </w:pPr>
            <w:r>
              <w:rPr>
                <w:b w:val="false"/>
                <w:bCs w:val="false"/>
                <w:sz w:val="18"/>
                <w:szCs w:val="18"/>
              </w:rPr>
              <w:t xml:space="preserve">BTDR-0004–0010 set</w:t>
            </w:r>
          </w:p>
        </w:tc>
      </w:tr>
    </w:tbl>
    <w:p>
      <w:pPr>
        <w:spacing w:after="60"/>
      </w:pPr>
    </w:p>
    <w:p>
      <w:pPr>
        <w:pStyle w:val="Heading1"/>
        <w:spacing w:after="80" w:before="240"/>
      </w:pPr>
      <w:r>
        <w:rPr>
          <w:b/>
          <w:bCs/>
          <w:sz w:val="26"/>
          <w:szCs w:val="26"/>
        </w:rPr>
        <w:t xml:space="preserve">Appendix B — Open-Questions Register</w:t>
      </w:r>
    </w:p>
    <w:p>
      <w:pPr>
        <w:spacing w:after="100"/>
      </w:pPr>
      <w:r>
        <w:rPr>
          <w:i/>
          <w:iCs/>
          <w:color w:val="666666"/>
          <w:sz w:val="16"/>
          <w:szCs w:val="16"/>
        </w:rPr>
        <w:t xml:space="preserve">BLUF-20 rendering · appendix (sequence position 16). One line per Flag directive — fog is first-class; a flag is a passed check, not a defect.</w:t>
      </w:r>
    </w:p>
    <w:tbl>
      <w:tblPr>
        <w:tblW w:type="dxa" w:w="10224"/>
        <w:tblBorders>
          <w:top w:val="single" w:color="auto" w:sz="4"/>
          <w:left w:val="single" w:color="auto" w:sz="4"/>
          <w:bottom w:val="single" w:color="auto" w:sz="4"/>
          <w:right w:val="single" w:color="auto" w:sz="4"/>
          <w:insideH w:val="single" w:color="auto" w:sz="4"/>
          <w:insideV w:val="single" w:color="auto" w:sz="4"/>
        </w:tblBorders>
      </w:tblPr>
      <w:tblGrid>
        <w:gridCol w:w="900"/>
        <w:gridCol w:w="9324"/>
      </w:tblGrid>
      <w:tr>
        <w:trPr>
          <w:tblHeader/>
        </w:trPr>
        <w:tc>
          <w:tcPr>
            <w:tcW w:type="dxa" w:w="900"/>
            <w:shd w:fill="EEF2F6" w:val="clear"/>
            <w:tcMar>
              <w:top w:type="dxa" w:w="40"/>
              <w:left w:type="dxa" w:w="80"/>
              <w:bottom w:type="dxa" w:w="40"/>
              <w:right w:type="dxa" w:w="80"/>
            </w:tcMar>
          </w:tcPr>
          <w:p>
            <w:pPr>
              <w:spacing w:after="0"/>
            </w:pPr>
            <w:r>
              <w:rPr>
                <w:b/>
                <w:bCs/>
                <w:sz w:val="18"/>
                <w:szCs w:val="18"/>
              </w:rPr>
              <w:t xml:space="preserve">M#</w:t>
            </w:r>
          </w:p>
        </w:tc>
        <w:tc>
          <w:tcPr>
            <w:tcW w:type="dxa" w:w="9324"/>
            <w:shd w:fill="EEF2F6" w:val="clear"/>
            <w:tcMar>
              <w:top w:type="dxa" w:w="40"/>
              <w:left w:type="dxa" w:w="80"/>
              <w:bottom w:type="dxa" w:w="40"/>
              <w:right w:type="dxa" w:w="80"/>
            </w:tcMar>
          </w:tcPr>
          <w:p>
            <w:pPr>
              <w:spacing w:after="0"/>
            </w:pPr>
            <w:r>
              <w:rPr>
                <w:b/>
                <w:bCs/>
                <w:sz w:val="18"/>
                <w:szCs w:val="18"/>
              </w:rPr>
              <w:t xml:space="preserve">Open question / fog item</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M01</w:t>
            </w:r>
          </w:p>
        </w:tc>
        <w:tc>
          <w:tcPr>
            <w:tcW w:type="dxa" w:w="9324"/>
            <w:tcMar>
              <w:top w:type="dxa" w:w="40"/>
              <w:left w:type="dxa" w:w="80"/>
              <w:bottom w:type="dxa" w:w="40"/>
              <w:right w:type="dxa" w:w="80"/>
            </w:tcMar>
          </w:tcPr>
          <w:p>
            <w:pPr>
              <w:spacing w:after="0"/>
            </w:pPr>
            <w:r>
              <w:rPr>
                <w:b w:val="false"/>
                <w:bCs w:val="false"/>
                <w:sz w:val="18"/>
                <w:szCs w:val="18"/>
              </w:rPr>
              <w:t xml:space="preserve">Thom exit/crossroad stance unconfirmed (optionality preserved, not pitched); FY26 baseline provisional</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M02</w:t>
            </w:r>
          </w:p>
        </w:tc>
        <w:tc>
          <w:tcPr>
            <w:tcW w:type="dxa" w:w="9324"/>
            <w:tcMar>
              <w:top w:type="dxa" w:w="40"/>
              <w:left w:type="dxa" w:w="80"/>
              <w:bottom w:type="dxa" w:w="40"/>
              <w:right w:type="dxa" w:w="80"/>
            </w:tcMar>
          </w:tcPr>
          <w:p>
            <w:pPr>
              <w:spacing w:after="0"/>
            </w:pPr>
            <w:r>
              <w:rPr>
                <w:b w:val="false"/>
                <w:bCs w:val="false"/>
                <w:sz w:val="18"/>
                <w:szCs w:val="18"/>
              </w:rPr>
              <w:t xml:space="preserve">Hard runway figure absent — revenue baseline ~$1.9M proj / $700.8K closed exists; cash/burn still open (G-M02-RUNWAY)</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M02</w:t>
            </w:r>
          </w:p>
        </w:tc>
        <w:tc>
          <w:tcPr>
            <w:tcW w:type="dxa" w:w="9324"/>
            <w:tcMar>
              <w:top w:type="dxa" w:w="40"/>
              <w:left w:type="dxa" w:w="80"/>
              <w:bottom w:type="dxa" w:w="40"/>
              <w:right w:type="dxa" w:w="80"/>
            </w:tcMar>
          </w:tcPr>
          <w:p>
            <w:pPr>
              <w:spacing w:after="0"/>
            </w:pPr>
            <w:r>
              <w:rPr>
                <w:b w:val="false"/>
                <w:bCs w:val="false"/>
                <w:sz w:val="18"/>
                <w:szCs w:val="18"/>
              </w:rPr>
              <w:t xml:space="preserve">Renewal-cycle cadence substantially resolved (real dates + $) but remains a point-in-time projection, not recognized ARR</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M03</w:t>
            </w:r>
          </w:p>
        </w:tc>
        <w:tc>
          <w:tcPr>
            <w:tcW w:type="dxa" w:w="9324"/>
            <w:tcMar>
              <w:top w:type="dxa" w:w="40"/>
              <w:left w:type="dxa" w:w="80"/>
              <w:bottom w:type="dxa" w:w="40"/>
              <w:right w:type="dxa" w:w="80"/>
            </w:tcMar>
          </w:tcPr>
          <w:p>
            <w:pPr>
              <w:spacing w:after="0"/>
            </w:pPr>
            <w:r>
              <w:rPr>
                <w:b w:val="false"/>
                <w:bCs w:val="false"/>
                <w:sz w:val="18"/>
                <w:szCs w:val="18"/>
              </w:rPr>
              <w:t xml:space="preserve">Standalone TAM for the full-lifecycle category absent (VDR proxy ceiling only)</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M03</w:t>
            </w:r>
          </w:p>
        </w:tc>
        <w:tc>
          <w:tcPr>
            <w:tcW w:type="dxa" w:w="9324"/>
            <w:tcMar>
              <w:top w:type="dxa" w:w="40"/>
              <w:left w:type="dxa" w:w="80"/>
              <w:bottom w:type="dxa" w:w="40"/>
              <w:right w:type="dxa" w:w="80"/>
            </w:tcMar>
          </w:tcPr>
          <w:p>
            <w:pPr>
              <w:spacing w:after="0"/>
            </w:pPr>
            <w:r>
              <w:rPr>
                <w:b w:val="false"/>
                <w:bCs w:val="false"/>
                <w:sz w:val="18"/>
                <w:szCs w:val="18"/>
              </w:rPr>
              <w:t xml:space="preserve">Competitor feature-map depth residual (API depth, pricing opacity, MCP write-back, Intralinks reviews)</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M04</w:t>
            </w:r>
          </w:p>
        </w:tc>
        <w:tc>
          <w:tcPr>
            <w:tcW w:type="dxa" w:w="9324"/>
            <w:tcMar>
              <w:top w:type="dxa" w:w="40"/>
              <w:left w:type="dxa" w:w="80"/>
              <w:bottom w:type="dxa" w:w="40"/>
              <w:right w:type="dxa" w:w="80"/>
            </w:tcMar>
          </w:tcPr>
          <w:p>
            <w:pPr>
              <w:spacing w:after="0"/>
            </w:pPr>
            <w:r>
              <w:rPr>
                <w:b w:val="false"/>
                <w:bCs w:val="false"/>
                <w:sz w:val="18"/>
                <w:szCs w:val="18"/>
              </w:rPr>
              <w:t xml:space="preserve">Mid-market sizing unknown (no TAM/SAM/SOM; NotebookLM-synthesized band, unvalidated)</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M04</w:t>
            </w:r>
          </w:p>
        </w:tc>
        <w:tc>
          <w:tcPr>
            <w:tcW w:type="dxa" w:w="9324"/>
            <w:tcMar>
              <w:top w:type="dxa" w:w="40"/>
              <w:left w:type="dxa" w:w="80"/>
              <w:bottom w:type="dxa" w:w="40"/>
              <w:right w:type="dxa" w:w="80"/>
            </w:tcMar>
          </w:tcPr>
          <w:p>
            <w:pPr>
              <w:spacing w:after="0"/>
            </w:pPr>
            <w:r>
              <w:rPr>
                <w:b w:val="false"/>
                <w:bCs w:val="false"/>
                <w:sz w:val="18"/>
                <w:szCs w:val="18"/>
              </w:rPr>
              <w:t xml:space="preserve">Persona depth uneven — 2 synthesized LMM personas vs 15 interviewed enterprise stakeholders</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M05</w:t>
            </w:r>
          </w:p>
        </w:tc>
        <w:tc>
          <w:tcPr>
            <w:tcW w:type="dxa" w:w="9324"/>
            <w:tcMar>
              <w:top w:type="dxa" w:w="40"/>
              <w:left w:type="dxa" w:w="80"/>
              <w:bottom w:type="dxa" w:w="40"/>
              <w:right w:type="dxa" w:w="80"/>
            </w:tcMar>
          </w:tcPr>
          <w:p>
            <w:pPr>
              <w:spacing w:after="0"/>
            </w:pPr>
            <w:r>
              <w:rPr>
                <w:b w:val="false"/>
                <w:bCs w:val="false"/>
                <w:sz w:val="18"/>
                <w:szCs w:val="18"/>
              </w:rPr>
              <w:t xml:space="preserve">Deeper technical-debt picture open (register status: draft)</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M06</w:t>
            </w:r>
          </w:p>
        </w:tc>
        <w:tc>
          <w:tcPr>
            <w:tcW w:type="dxa" w:w="9324"/>
            <w:tcMar>
              <w:top w:type="dxa" w:w="40"/>
              <w:left w:type="dxa" w:w="80"/>
              <w:bottom w:type="dxa" w:w="40"/>
              <w:right w:type="dxa" w:w="80"/>
            </w:tcMar>
          </w:tcPr>
          <w:p>
            <w:pPr>
              <w:spacing w:after="0"/>
            </w:pPr>
            <w:r>
              <w:rPr>
                <w:b w:val="false"/>
                <w:bCs w:val="false"/>
                <w:sz w:val="18"/>
                <w:szCs w:val="18"/>
              </w:rPr>
              <w:t xml:space="preserve">Exit optionality — deferred to leadership (Thom stance open)</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M07</w:t>
            </w:r>
          </w:p>
        </w:tc>
        <w:tc>
          <w:tcPr>
            <w:tcW w:type="dxa" w:w="9324"/>
            <w:tcMar>
              <w:top w:type="dxa" w:w="40"/>
              <w:left w:type="dxa" w:w="80"/>
              <w:bottom w:type="dxa" w:w="40"/>
              <w:right w:type="dxa" w:w="80"/>
            </w:tcMar>
          </w:tcPr>
          <w:p>
            <w:pPr>
              <w:spacing w:after="0"/>
            </w:pPr>
            <w:r>
              <w:rPr>
                <w:b w:val="false"/>
                <w:bCs w:val="false"/>
                <w:sz w:val="18"/>
                <w:szCs w:val="18"/>
              </w:rPr>
              <w:t xml:space="preserve">AI ROI unvalidated ($709K/yr TCO model illustrative)</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M08</w:t>
            </w:r>
          </w:p>
        </w:tc>
        <w:tc>
          <w:tcPr>
            <w:tcW w:type="dxa" w:w="9324"/>
            <w:tcMar>
              <w:top w:type="dxa" w:w="40"/>
              <w:left w:type="dxa" w:w="80"/>
              <w:bottom w:type="dxa" w:w="40"/>
              <w:right w:type="dxa" w:w="80"/>
            </w:tcMar>
          </w:tcPr>
          <w:p>
            <w:pPr>
              <w:spacing w:after="0"/>
            </w:pPr>
            <w:r>
              <w:rPr>
                <w:b w:val="false"/>
                <w:bCs w:val="false"/>
                <w:sz w:val="18"/>
                <w:szCs w:val="18"/>
              </w:rPr>
              <w:t xml:space="preserve">Validation-not-introspectable API gap (hard dependency for agent-assisted frontends)</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M08</w:t>
            </w:r>
          </w:p>
        </w:tc>
        <w:tc>
          <w:tcPr>
            <w:tcW w:type="dxa" w:w="9324"/>
            <w:tcMar>
              <w:top w:type="dxa" w:w="40"/>
              <w:left w:type="dxa" w:w="80"/>
              <w:bottom w:type="dxa" w:w="40"/>
              <w:right w:type="dxa" w:w="80"/>
            </w:tcMar>
          </w:tcPr>
          <w:p>
            <w:pPr>
              <w:spacing w:after="0"/>
            </w:pPr>
            <w:r>
              <w:rPr>
                <w:b w:val="false"/>
                <w:bCs w:val="false"/>
                <w:sz w:val="18"/>
                <w:szCs w:val="18"/>
              </w:rPr>
              <w:t xml:space="preserve">53-question AI-governance report unverified (conditional gate on the Sec&amp;Compliance candidate)</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M08</w:t>
            </w:r>
          </w:p>
        </w:tc>
        <w:tc>
          <w:tcPr>
            <w:tcW w:type="dxa" w:w="9324"/>
            <w:tcMar>
              <w:top w:type="dxa" w:w="40"/>
              <w:left w:type="dxa" w:w="80"/>
              <w:bottom w:type="dxa" w:w="40"/>
              <w:right w:type="dxa" w:w="80"/>
            </w:tcMar>
          </w:tcPr>
          <w:p>
            <w:pPr>
              <w:spacing w:after="0"/>
            </w:pPr>
            <w:r>
              <w:rPr>
                <w:b w:val="false"/>
                <w:bCs w:val="false"/>
                <w:sz w:val="18"/>
                <w:szCs w:val="18"/>
              </w:rPr>
              <w:t xml:space="preserve">Strangler-Fig vs incremental extraction fork (→ §10); Diversify product breadth (→ §11 + the choice)</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M09</w:t>
            </w:r>
          </w:p>
        </w:tc>
        <w:tc>
          <w:tcPr>
            <w:tcW w:type="dxa" w:w="9324"/>
            <w:tcMar>
              <w:top w:type="dxa" w:w="40"/>
              <w:left w:type="dxa" w:w="80"/>
              <w:bottom w:type="dxa" w:w="40"/>
              <w:right w:type="dxa" w:w="80"/>
            </w:tcMar>
          </w:tcPr>
          <w:p>
            <w:pPr>
              <w:spacing w:after="0"/>
            </w:pPr>
            <w:r>
              <w:rPr>
                <w:b w:val="false"/>
                <w:bCs w:val="false"/>
                <w:sz w:val="18"/>
                <w:szCs w:val="18"/>
              </w:rPr>
              <w:t xml:space="preserve">Diversify product breadth — Tier-1 choice open; C3/C4/C6 via demand-signal instrument</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M09</w:t>
            </w:r>
          </w:p>
        </w:tc>
        <w:tc>
          <w:tcPr>
            <w:tcW w:type="dxa" w:w="9324"/>
            <w:tcMar>
              <w:top w:type="dxa" w:w="40"/>
              <w:left w:type="dxa" w:w="80"/>
              <w:bottom w:type="dxa" w:w="40"/>
              <w:right w:type="dxa" w:w="80"/>
            </w:tcMar>
          </w:tcPr>
          <w:p>
            <w:pPr>
              <w:spacing w:after="0"/>
            </w:pPr>
            <w:r>
              <w:rPr>
                <w:b w:val="false"/>
                <w:bCs w:val="false"/>
                <w:sz w:val="18"/>
                <w:szCs w:val="18"/>
              </w:rPr>
              <w:t xml:space="preserve">LMM friction deferred (demand unvalidated; fake-door owed)</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M10</w:t>
            </w:r>
          </w:p>
        </w:tc>
        <w:tc>
          <w:tcPr>
            <w:tcW w:type="dxa" w:w="9324"/>
            <w:tcMar>
              <w:top w:type="dxa" w:w="40"/>
              <w:left w:type="dxa" w:w="80"/>
              <w:bottom w:type="dxa" w:w="40"/>
              <w:right w:type="dxa" w:w="80"/>
            </w:tcMar>
          </w:tcPr>
          <w:p>
            <w:pPr>
              <w:spacing w:after="0"/>
            </w:pPr>
            <w:r>
              <w:rPr>
                <w:b w:val="false"/>
                <w:bCs w:val="false"/>
                <w:sz w:val="18"/>
                <w:szCs w:val="18"/>
              </w:rPr>
              <w:t xml:space="preserve">F1 re-sizing + T2 DevenConnect sizing — live dispatch items on the phase-gate calendar</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M11</w:t>
            </w:r>
          </w:p>
        </w:tc>
        <w:tc>
          <w:tcPr>
            <w:tcW w:type="dxa" w:w="9324"/>
            <w:tcMar>
              <w:top w:type="dxa" w:w="40"/>
              <w:left w:type="dxa" w:w="80"/>
              <w:bottom w:type="dxa" w:w="40"/>
              <w:right w:type="dxa" w:w="80"/>
            </w:tcMar>
          </w:tcPr>
          <w:p>
            <w:pPr>
              <w:spacing w:after="0"/>
            </w:pPr>
            <w:r>
              <w:rPr>
                <w:b w:val="false"/>
                <w:bCs w:val="false"/>
                <w:sz w:val="18"/>
                <w:szCs w:val="18"/>
              </w:rPr>
              <w:t xml:space="preserve">Pricing data — real list + realized ACVs exist; discount-adjusted per-seat realization open</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M11</w:t>
            </w:r>
          </w:p>
        </w:tc>
        <w:tc>
          <w:tcPr>
            <w:tcW w:type="dxa" w:w="9324"/>
            <w:tcMar>
              <w:top w:type="dxa" w:w="40"/>
              <w:left w:type="dxa" w:w="80"/>
              <w:bottom w:type="dxa" w:w="40"/>
              <w:right w:type="dxa" w:w="80"/>
            </w:tcMar>
          </w:tcPr>
          <w:p>
            <w:pPr>
              <w:spacing w:after="0"/>
            </w:pPr>
            <w:r>
              <w:rPr>
                <w:b w:val="false"/>
                <w:bCs w:val="false"/>
                <w:sz w:val="18"/>
                <w:szCs w:val="18"/>
              </w:rPr>
              <w:t xml:space="preserve">Mid-market unit economics — first-cut enabled; CAC/LTV absent</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M11</w:t>
            </w:r>
          </w:p>
        </w:tc>
        <w:tc>
          <w:tcPr>
            <w:tcW w:type="dxa" w:w="9324"/>
            <w:tcMar>
              <w:top w:type="dxa" w:w="40"/>
              <w:left w:type="dxa" w:w="80"/>
              <w:bottom w:type="dxa" w:w="40"/>
              <w:right w:type="dxa" w:w="80"/>
            </w:tcMar>
          </w:tcPr>
          <w:p>
            <w:pPr>
              <w:spacing w:after="0"/>
            </w:pPr>
            <w:r>
              <w:rPr>
                <w:b w:val="false"/>
                <w:bCs w:val="false"/>
                <w:sz w:val="18"/>
                <w:szCs w:val="18"/>
              </w:rPr>
              <w:t xml:space="preserve">Fake-door / demand-signal campaign cost open</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M12</w:t>
            </w:r>
          </w:p>
        </w:tc>
        <w:tc>
          <w:tcPr>
            <w:tcW w:type="dxa" w:w="9324"/>
            <w:tcMar>
              <w:top w:type="dxa" w:w="40"/>
              <w:left w:type="dxa" w:w="80"/>
              <w:bottom w:type="dxa" w:w="40"/>
              <w:right w:type="dxa" w:w="80"/>
            </w:tcMar>
          </w:tcPr>
          <w:p>
            <w:pPr>
              <w:spacing w:after="0"/>
            </w:pPr>
            <w:r>
              <w:rPr>
                <w:b w:val="false"/>
                <w:bCs w:val="false"/>
                <w:sz w:val="18"/>
                <w:szCs w:val="18"/>
              </w:rPr>
              <w:t xml:space="preserve">Risk quantification mostly absent (LMM probabilities, $-exposure, unit economics; gate owner/cadence undecided)</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M13</w:t>
            </w:r>
          </w:p>
        </w:tc>
        <w:tc>
          <w:tcPr>
            <w:tcW w:type="dxa" w:w="9324"/>
            <w:tcMar>
              <w:top w:type="dxa" w:w="40"/>
              <w:left w:type="dxa" w:w="80"/>
              <w:bottom w:type="dxa" w:w="40"/>
              <w:right w:type="dxa" w:w="80"/>
            </w:tcMar>
          </w:tcPr>
          <w:p>
            <w:pPr>
              <w:spacing w:after="0"/>
            </w:pPr>
            <w:r>
              <w:rPr>
                <w:b w:val="false"/>
                <w:bCs w:val="false"/>
                <w:sz w:val="18"/>
                <w:szCs w:val="18"/>
              </w:rPr>
              <w:t xml:space="preserve">Baselines partially addressed — true NRR, CAC/LTV, feature-adoption, NPS/CSAT, API usage, win-rate still build-instrument</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M13</w:t>
            </w:r>
          </w:p>
        </w:tc>
        <w:tc>
          <w:tcPr>
            <w:tcW w:type="dxa" w:w="9324"/>
            <w:tcMar>
              <w:top w:type="dxa" w:w="40"/>
              <w:left w:type="dxa" w:w="80"/>
              <w:bottom w:type="dxa" w:w="40"/>
              <w:right w:type="dxa" w:w="80"/>
            </w:tcMar>
          </w:tcPr>
          <w:p>
            <w:pPr>
              <w:spacing w:after="0"/>
            </w:pPr>
            <w:r>
              <w:rPr>
                <w:b w:val="false"/>
                <w:bCs w:val="false"/>
                <w:sz w:val="18"/>
                <w:szCs w:val="18"/>
              </w:rPr>
              <w:t xml:space="preserve">Unverified marketing claims (48% / 56% / 7x) — flag-and-exclude until verified</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M14</w:t>
            </w:r>
          </w:p>
        </w:tc>
        <w:tc>
          <w:tcPr>
            <w:tcW w:type="dxa" w:w="9324"/>
            <w:tcMar>
              <w:top w:type="dxa" w:w="40"/>
              <w:left w:type="dxa" w:w="80"/>
              <w:bottom w:type="dxa" w:w="40"/>
              <w:right w:type="dxa" w:w="80"/>
            </w:tcMar>
          </w:tcPr>
          <w:p>
            <w:pPr>
              <w:spacing w:after="0"/>
            </w:pPr>
            <w:r>
              <w:rPr>
                <w:b w:val="false"/>
                <w:bCs w:val="false"/>
                <w:sz w:val="18"/>
                <w:szCs w:val="18"/>
              </w:rPr>
              <w:t xml:space="preserve">DevenConnect consumption-rate structure TBD (BTDR-0009; rates unset)</w:t>
            </w:r>
          </w:p>
        </w:tc>
      </w:tr>
      <w:tr>
        <w:trPr>
          <w:tblHeader w:val="false"/>
        </w:trPr>
        <w:tc>
          <w:tcPr>
            <w:tcW w:type="dxa" w:w="900"/>
            <w:tcMar>
              <w:top w:type="dxa" w:w="40"/>
              <w:left w:type="dxa" w:w="80"/>
              <w:bottom w:type="dxa" w:w="40"/>
              <w:right w:type="dxa" w:w="80"/>
            </w:tcMar>
          </w:tcPr>
          <w:p>
            <w:pPr>
              <w:spacing w:after="0"/>
            </w:pPr>
            <w:r>
              <w:rPr>
                <w:b w:val="false"/>
                <w:bCs w:val="false"/>
                <w:sz w:val="18"/>
                <w:szCs w:val="18"/>
              </w:rPr>
              <w:t xml:space="preserve">M14</w:t>
            </w:r>
          </w:p>
        </w:tc>
        <w:tc>
          <w:tcPr>
            <w:tcW w:type="dxa" w:w="9324"/>
            <w:tcMar>
              <w:top w:type="dxa" w:w="40"/>
              <w:left w:type="dxa" w:w="80"/>
              <w:bottom w:type="dxa" w:w="40"/>
              <w:right w:type="dxa" w:w="80"/>
            </w:tcMar>
          </w:tcPr>
          <w:p>
            <w:pPr>
              <w:spacing w:after="0"/>
            </w:pPr>
            <w:r>
              <w:rPr>
                <w:b w:val="false"/>
                <w:bCs w:val="false"/>
                <w:sz w:val="18"/>
                <w:szCs w:val="18"/>
              </w:rPr>
              <w:t xml:space="preserve">Demand-signal instrument method — Eric against fake-door, Diego recommends (BTDR-0005 amendment owed)</w:t>
            </w:r>
          </w:p>
        </w:tc>
      </w:tr>
    </w:tbl>
    <w:p>
      <w:pPr>
        <w:spacing w:after="60"/>
      </w:pPr>
    </w:p>
    <w:sectPr>
      <w:footerReference w:type="default" r:id="rId7"/>
      <w:pgSz w:w="12240" w:h="15840" w:orient="portrait"/>
      <w:pgMar w:top="1008" w:right="1008" w:bottom="1008" w:left="100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1F4E79"/>
      <w:sz w:val="26"/>
      <w:szCs w:val="26"/>
    </w:rPr>
  </w:style>
  <w:style w:type="paragraph" w:styleId="Heading2">
    <w:name w:val="Heading 2"/>
    <w:basedOn w:val="Normal"/>
    <w:next w:val="Normal"/>
    <w:qFormat/>
    <w:rPr>
      <w:rFonts w:ascii="Calibri" w:cs="Calibri" w:eastAsia="Calibri" w:hAnsi="Calibri"/>
      <w:b/>
      <w:bCs/>
      <w:color w:val="2E74B5"/>
      <w:sz w:val="22"/>
      <w:szCs w:val="22"/>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2026-08-19T06:19:05.699Z</dcterms:created>
  <dcterms:modified xsi:type="dcterms:W3CDTF">2026-08-19T06:19:05.700Z</dcterms:modified>
</cp:coreProperties>
</file>

<file path=docProps/custom.xml><?xml version="1.0" encoding="utf-8"?>
<Properties xmlns="http://schemas.openxmlformats.org/officeDocument/2006/custom-properties" xmlns:vt="http://schemas.openxmlformats.org/officeDocument/2006/docPropsVTypes"/>
</file>